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B8345E" w14:paraId="181C7B78" w14:textId="77777777">
        <w:tblPrEx>
          <w:tblCellMar>
            <w:top w:w="0" w:type="dxa"/>
            <w:bottom w:w="0" w:type="dxa"/>
          </w:tblCellMar>
        </w:tblPrEx>
        <w:trPr>
          <w:tblCellSpacing w:w="60" w:type="dxa"/>
        </w:trPr>
        <w:tc>
          <w:tcPr>
            <w:tcW w:w="1200" w:type="pct"/>
            <w:shd w:val="clear" w:color="auto" w:fill="E7F0F9"/>
          </w:tcPr>
          <w:p w14:paraId="181C7B76" w14:textId="77777777" w:rsidR="00B8345E" w:rsidRDefault="00000000">
            <w:pPr>
              <w:spacing w:after="0" w:line="240" w:lineRule="auto"/>
            </w:pPr>
            <w:r>
              <w:rPr>
                <w:b/>
              </w:rPr>
              <w:t>RKP broj</w:t>
            </w:r>
          </w:p>
        </w:tc>
        <w:tc>
          <w:tcPr>
            <w:tcW w:w="0" w:type="auto"/>
            <w:shd w:val="clear" w:color="auto" w:fill="E7F0F9"/>
          </w:tcPr>
          <w:p w14:paraId="181C7B77" w14:textId="77777777" w:rsidR="00B8345E" w:rsidRDefault="00000000">
            <w:pPr>
              <w:spacing w:after="0" w:line="240" w:lineRule="auto"/>
            </w:pPr>
            <w:r>
              <w:t>35513</w:t>
            </w:r>
          </w:p>
        </w:tc>
      </w:tr>
      <w:tr w:rsidR="00B8345E" w14:paraId="181C7B7B" w14:textId="77777777">
        <w:tblPrEx>
          <w:tblCellMar>
            <w:top w:w="0" w:type="dxa"/>
            <w:bottom w:w="0" w:type="dxa"/>
          </w:tblCellMar>
        </w:tblPrEx>
        <w:trPr>
          <w:tblCellSpacing w:w="60" w:type="dxa"/>
        </w:trPr>
        <w:tc>
          <w:tcPr>
            <w:tcW w:w="1200" w:type="pct"/>
            <w:shd w:val="clear" w:color="auto" w:fill="E7F0F9"/>
          </w:tcPr>
          <w:p w14:paraId="181C7B79" w14:textId="77777777" w:rsidR="00B8345E" w:rsidRDefault="00000000">
            <w:pPr>
              <w:spacing w:after="0" w:line="240" w:lineRule="auto"/>
            </w:pPr>
            <w:r>
              <w:rPr>
                <w:b/>
              </w:rPr>
              <w:t>Naziv obveznika</w:t>
            </w:r>
          </w:p>
        </w:tc>
        <w:tc>
          <w:tcPr>
            <w:tcW w:w="0" w:type="auto"/>
            <w:shd w:val="clear" w:color="auto" w:fill="E7F0F9"/>
          </w:tcPr>
          <w:p w14:paraId="181C7B7A" w14:textId="77777777" w:rsidR="00B8345E" w:rsidRDefault="00000000">
            <w:pPr>
              <w:spacing w:after="0" w:line="240" w:lineRule="auto"/>
            </w:pPr>
            <w:r>
              <w:t>OPĆINA SV. FILIP I JAKOV</w:t>
            </w:r>
          </w:p>
        </w:tc>
      </w:tr>
      <w:tr w:rsidR="00B8345E" w14:paraId="181C7B7E" w14:textId="77777777">
        <w:tblPrEx>
          <w:tblCellMar>
            <w:top w:w="0" w:type="dxa"/>
            <w:bottom w:w="0" w:type="dxa"/>
          </w:tblCellMar>
        </w:tblPrEx>
        <w:trPr>
          <w:tblCellSpacing w:w="60" w:type="dxa"/>
        </w:trPr>
        <w:tc>
          <w:tcPr>
            <w:tcW w:w="1200" w:type="pct"/>
            <w:shd w:val="clear" w:color="auto" w:fill="E7F0F9"/>
          </w:tcPr>
          <w:p w14:paraId="181C7B7C" w14:textId="77777777" w:rsidR="00B8345E" w:rsidRDefault="00000000">
            <w:pPr>
              <w:spacing w:after="0" w:line="240" w:lineRule="auto"/>
            </w:pPr>
            <w:r>
              <w:rPr>
                <w:b/>
              </w:rPr>
              <w:t>Razina</w:t>
            </w:r>
          </w:p>
        </w:tc>
        <w:tc>
          <w:tcPr>
            <w:tcW w:w="0" w:type="auto"/>
            <w:shd w:val="clear" w:color="auto" w:fill="E7F0F9"/>
          </w:tcPr>
          <w:p w14:paraId="181C7B7D" w14:textId="77777777" w:rsidR="00B8345E" w:rsidRDefault="00000000">
            <w:pPr>
              <w:spacing w:after="0" w:line="240" w:lineRule="auto"/>
            </w:pPr>
            <w:r>
              <w:t>22</w:t>
            </w:r>
          </w:p>
        </w:tc>
      </w:tr>
    </w:tbl>
    <w:p w14:paraId="181C7B7F" w14:textId="77777777" w:rsidR="00B8345E" w:rsidRDefault="00000000">
      <w:r>
        <w:br/>
      </w:r>
    </w:p>
    <w:p w14:paraId="181C7B80" w14:textId="77777777" w:rsidR="00B8345E" w:rsidRDefault="00000000">
      <w:pPr>
        <w:spacing w:line="240" w:lineRule="auto"/>
        <w:jc w:val="center"/>
      </w:pPr>
      <w:r>
        <w:rPr>
          <w:b/>
          <w:sz w:val="28"/>
        </w:rPr>
        <w:t>BILJEŠKE UZ FINANCIJSKE IZVJEŠTAJE</w:t>
      </w:r>
    </w:p>
    <w:p w14:paraId="181C7B81" w14:textId="77777777" w:rsidR="00B8345E" w:rsidRDefault="00000000">
      <w:pPr>
        <w:spacing w:line="240" w:lineRule="auto"/>
        <w:jc w:val="center"/>
      </w:pPr>
      <w:r>
        <w:rPr>
          <w:b/>
          <w:sz w:val="28"/>
        </w:rPr>
        <w:t>ZA RAZDOBLJE</w:t>
      </w:r>
    </w:p>
    <w:p w14:paraId="181C7B82" w14:textId="77777777" w:rsidR="00B8345E" w:rsidRDefault="00000000">
      <w:pPr>
        <w:spacing w:line="240" w:lineRule="auto"/>
        <w:jc w:val="center"/>
      </w:pPr>
      <w:r>
        <w:rPr>
          <w:b/>
          <w:sz w:val="28"/>
        </w:rPr>
        <w:t>I - XII 2025.</w:t>
      </w:r>
    </w:p>
    <w:p w14:paraId="181C7B83" w14:textId="77777777" w:rsidR="00B8345E" w:rsidRDefault="00B8345E"/>
    <w:p w14:paraId="181C7B84" w14:textId="77777777" w:rsidR="00B8345E" w:rsidRDefault="00000000">
      <w:pPr>
        <w:keepNext/>
        <w:spacing w:line="240" w:lineRule="auto"/>
        <w:jc w:val="center"/>
      </w:pPr>
      <w:r>
        <w:rPr>
          <w:b/>
          <w:sz w:val="28"/>
        </w:rPr>
        <w:t>Izvještaj o prihodima i rashodima, primicima i izdacima</w:t>
      </w:r>
    </w:p>
    <w:p w14:paraId="181C7B85" w14:textId="77777777" w:rsidR="00B8345E"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B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B86"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B87"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B88"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B89" w14:textId="77777777" w:rsidR="00B8345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1C7B8A" w14:textId="77777777" w:rsidR="00B8345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1C7B8B" w14:textId="77777777" w:rsidR="00B8345E" w:rsidRDefault="00000000">
            <w:pPr>
              <w:keepNext/>
              <w:keepLines/>
              <w:spacing w:after="0" w:line="240" w:lineRule="auto"/>
              <w:jc w:val="center"/>
            </w:pPr>
            <w:r>
              <w:rPr>
                <w:b/>
                <w:sz w:val="18"/>
              </w:rPr>
              <w:t>Indeks (%)</w:t>
            </w:r>
          </w:p>
        </w:tc>
      </w:tr>
      <w:tr w:rsidR="00B8345E" w14:paraId="181C7B93" w14:textId="77777777">
        <w:tblPrEx>
          <w:tblCellMar>
            <w:top w:w="0" w:type="dxa"/>
            <w:bottom w:w="0" w:type="dxa"/>
          </w:tblCellMar>
        </w:tblPrEx>
        <w:trPr>
          <w:cantSplit/>
          <w:trHeight w:val="560"/>
        </w:trPr>
        <w:tc>
          <w:tcPr>
            <w:tcW w:w="700" w:type="dxa"/>
            <w:tcMar>
              <w:top w:w="0" w:type="dxa"/>
              <w:bottom w:w="0" w:type="dxa"/>
            </w:tcMar>
            <w:vAlign w:val="center"/>
          </w:tcPr>
          <w:p w14:paraId="181C7B8D" w14:textId="77777777" w:rsidR="00B8345E" w:rsidRDefault="00000000">
            <w:pPr>
              <w:keepNext/>
              <w:keepLines/>
              <w:spacing w:after="0" w:line="240" w:lineRule="auto"/>
            </w:pPr>
            <w:r>
              <w:rPr>
                <w:sz w:val="18"/>
              </w:rPr>
              <w:t>6</w:t>
            </w:r>
          </w:p>
        </w:tc>
        <w:tc>
          <w:tcPr>
            <w:tcW w:w="3180" w:type="dxa"/>
            <w:tcMar>
              <w:top w:w="0" w:type="dxa"/>
              <w:bottom w:w="0" w:type="dxa"/>
            </w:tcMar>
            <w:vAlign w:val="center"/>
          </w:tcPr>
          <w:p w14:paraId="181C7B8E" w14:textId="77777777" w:rsidR="00B8345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81C7B8F" w14:textId="77777777" w:rsidR="00B8345E" w:rsidRDefault="00000000">
            <w:pPr>
              <w:keepNext/>
              <w:keepLines/>
              <w:spacing w:after="0" w:line="240" w:lineRule="auto"/>
            </w:pPr>
            <w:r>
              <w:rPr>
                <w:sz w:val="18"/>
              </w:rPr>
              <w:t>6</w:t>
            </w:r>
          </w:p>
        </w:tc>
        <w:tc>
          <w:tcPr>
            <w:tcW w:w="1860" w:type="dxa"/>
            <w:tcMar>
              <w:top w:w="0" w:type="dxa"/>
              <w:bottom w:w="0" w:type="dxa"/>
            </w:tcMar>
            <w:vAlign w:val="center"/>
          </w:tcPr>
          <w:p w14:paraId="181C7B90" w14:textId="77777777" w:rsidR="00B8345E" w:rsidRDefault="00000000">
            <w:pPr>
              <w:keepNext/>
              <w:keepLines/>
              <w:spacing w:after="0" w:line="240" w:lineRule="auto"/>
              <w:jc w:val="right"/>
            </w:pPr>
            <w:r>
              <w:rPr>
                <w:sz w:val="18"/>
              </w:rPr>
              <w:t>8.217.210,99</w:t>
            </w:r>
          </w:p>
        </w:tc>
        <w:tc>
          <w:tcPr>
            <w:tcW w:w="1860" w:type="dxa"/>
            <w:tcMar>
              <w:top w:w="0" w:type="dxa"/>
              <w:bottom w:w="0" w:type="dxa"/>
            </w:tcMar>
            <w:vAlign w:val="center"/>
          </w:tcPr>
          <w:p w14:paraId="181C7B91" w14:textId="77777777" w:rsidR="00B8345E" w:rsidRDefault="00000000">
            <w:pPr>
              <w:keepNext/>
              <w:keepLines/>
              <w:spacing w:after="0" w:line="240" w:lineRule="auto"/>
              <w:jc w:val="right"/>
            </w:pPr>
            <w:r>
              <w:rPr>
                <w:sz w:val="18"/>
              </w:rPr>
              <w:t>8.747.609,30</w:t>
            </w:r>
          </w:p>
        </w:tc>
        <w:tc>
          <w:tcPr>
            <w:tcW w:w="700" w:type="dxa"/>
            <w:tcMar>
              <w:top w:w="0" w:type="dxa"/>
              <w:bottom w:w="0" w:type="dxa"/>
            </w:tcMar>
            <w:vAlign w:val="center"/>
          </w:tcPr>
          <w:p w14:paraId="181C7B92" w14:textId="77777777" w:rsidR="00B8345E" w:rsidRDefault="00000000">
            <w:pPr>
              <w:keepNext/>
              <w:keepLines/>
              <w:spacing w:after="0" w:line="240" w:lineRule="auto"/>
              <w:jc w:val="right"/>
            </w:pPr>
            <w:r>
              <w:rPr>
                <w:sz w:val="18"/>
              </w:rPr>
              <w:t>106,5</w:t>
            </w:r>
          </w:p>
        </w:tc>
      </w:tr>
      <w:tr w:rsidR="00B8345E" w14:paraId="181C7B9A" w14:textId="77777777">
        <w:tblPrEx>
          <w:tblCellMar>
            <w:top w:w="0" w:type="dxa"/>
            <w:bottom w:w="0" w:type="dxa"/>
          </w:tblCellMar>
        </w:tblPrEx>
        <w:trPr>
          <w:cantSplit/>
          <w:trHeight w:val="560"/>
        </w:trPr>
        <w:tc>
          <w:tcPr>
            <w:tcW w:w="700" w:type="dxa"/>
            <w:tcMar>
              <w:top w:w="0" w:type="dxa"/>
              <w:bottom w:w="0" w:type="dxa"/>
            </w:tcMar>
            <w:vAlign w:val="center"/>
          </w:tcPr>
          <w:p w14:paraId="181C7B94" w14:textId="77777777" w:rsidR="00B8345E" w:rsidRDefault="00000000">
            <w:pPr>
              <w:keepNext/>
              <w:keepLines/>
              <w:spacing w:after="0" w:line="240" w:lineRule="auto"/>
            </w:pPr>
            <w:r>
              <w:rPr>
                <w:sz w:val="18"/>
              </w:rPr>
              <w:t>3</w:t>
            </w:r>
          </w:p>
        </w:tc>
        <w:tc>
          <w:tcPr>
            <w:tcW w:w="3180" w:type="dxa"/>
            <w:tcMar>
              <w:top w:w="0" w:type="dxa"/>
              <w:bottom w:w="0" w:type="dxa"/>
            </w:tcMar>
            <w:vAlign w:val="center"/>
          </w:tcPr>
          <w:p w14:paraId="181C7B95" w14:textId="77777777" w:rsidR="00B8345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81C7B96" w14:textId="77777777" w:rsidR="00B8345E" w:rsidRDefault="00000000">
            <w:pPr>
              <w:keepNext/>
              <w:keepLines/>
              <w:spacing w:after="0" w:line="240" w:lineRule="auto"/>
            </w:pPr>
            <w:r>
              <w:rPr>
                <w:sz w:val="18"/>
              </w:rPr>
              <w:t>3</w:t>
            </w:r>
          </w:p>
        </w:tc>
        <w:tc>
          <w:tcPr>
            <w:tcW w:w="1860" w:type="dxa"/>
            <w:tcMar>
              <w:top w:w="0" w:type="dxa"/>
              <w:bottom w:w="0" w:type="dxa"/>
            </w:tcMar>
            <w:vAlign w:val="center"/>
          </w:tcPr>
          <w:p w14:paraId="181C7B97" w14:textId="77777777" w:rsidR="00B8345E" w:rsidRDefault="00000000">
            <w:pPr>
              <w:keepNext/>
              <w:keepLines/>
              <w:spacing w:after="0" w:line="240" w:lineRule="auto"/>
              <w:jc w:val="right"/>
            </w:pPr>
            <w:r>
              <w:rPr>
                <w:sz w:val="18"/>
              </w:rPr>
              <w:t>5.229.830,25</w:t>
            </w:r>
          </w:p>
        </w:tc>
        <w:tc>
          <w:tcPr>
            <w:tcW w:w="1860" w:type="dxa"/>
            <w:tcMar>
              <w:top w:w="0" w:type="dxa"/>
              <w:bottom w:w="0" w:type="dxa"/>
            </w:tcMar>
            <w:vAlign w:val="center"/>
          </w:tcPr>
          <w:p w14:paraId="181C7B98" w14:textId="77777777" w:rsidR="00B8345E" w:rsidRDefault="00000000">
            <w:pPr>
              <w:keepNext/>
              <w:keepLines/>
              <w:spacing w:after="0" w:line="240" w:lineRule="auto"/>
              <w:jc w:val="right"/>
            </w:pPr>
            <w:r>
              <w:rPr>
                <w:sz w:val="18"/>
              </w:rPr>
              <w:t>8.534.062,34</w:t>
            </w:r>
          </w:p>
        </w:tc>
        <w:tc>
          <w:tcPr>
            <w:tcW w:w="700" w:type="dxa"/>
            <w:tcMar>
              <w:top w:w="0" w:type="dxa"/>
              <w:bottom w:w="0" w:type="dxa"/>
            </w:tcMar>
            <w:vAlign w:val="center"/>
          </w:tcPr>
          <w:p w14:paraId="181C7B99" w14:textId="77777777" w:rsidR="00B8345E" w:rsidRDefault="00000000">
            <w:pPr>
              <w:keepNext/>
              <w:keepLines/>
              <w:spacing w:after="0" w:line="240" w:lineRule="auto"/>
              <w:jc w:val="right"/>
            </w:pPr>
            <w:r>
              <w:rPr>
                <w:sz w:val="18"/>
              </w:rPr>
              <w:t>163,2</w:t>
            </w:r>
          </w:p>
        </w:tc>
      </w:tr>
      <w:tr w:rsidR="00B8345E" w14:paraId="181C7BA1" w14:textId="77777777">
        <w:tblPrEx>
          <w:tblCellMar>
            <w:top w:w="0" w:type="dxa"/>
            <w:bottom w:w="0" w:type="dxa"/>
          </w:tblCellMar>
        </w:tblPrEx>
        <w:trPr>
          <w:cantSplit/>
          <w:trHeight w:val="560"/>
        </w:trPr>
        <w:tc>
          <w:tcPr>
            <w:tcW w:w="700" w:type="dxa"/>
            <w:tcMar>
              <w:top w:w="0" w:type="dxa"/>
              <w:bottom w:w="0" w:type="dxa"/>
            </w:tcMar>
            <w:vAlign w:val="center"/>
          </w:tcPr>
          <w:p w14:paraId="181C7B9B" w14:textId="77777777" w:rsidR="00B8345E" w:rsidRDefault="00B8345E">
            <w:pPr>
              <w:keepNext/>
              <w:keepLines/>
              <w:spacing w:after="0" w:line="240" w:lineRule="auto"/>
            </w:pPr>
          </w:p>
        </w:tc>
        <w:tc>
          <w:tcPr>
            <w:tcW w:w="3180" w:type="dxa"/>
            <w:tcMar>
              <w:top w:w="0" w:type="dxa"/>
              <w:bottom w:w="0" w:type="dxa"/>
            </w:tcMar>
            <w:vAlign w:val="center"/>
          </w:tcPr>
          <w:p w14:paraId="181C7B9C" w14:textId="77777777" w:rsidR="00B8345E"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81C7B9D" w14:textId="77777777" w:rsidR="00B8345E" w:rsidRDefault="00000000">
            <w:pPr>
              <w:keepNext/>
              <w:keepLines/>
              <w:spacing w:after="0" w:line="240" w:lineRule="auto"/>
            </w:pPr>
            <w:r>
              <w:rPr>
                <w:b/>
                <w:sz w:val="18"/>
              </w:rPr>
              <w:t>X001</w:t>
            </w:r>
          </w:p>
        </w:tc>
        <w:tc>
          <w:tcPr>
            <w:tcW w:w="1860" w:type="dxa"/>
            <w:tcMar>
              <w:top w:w="0" w:type="dxa"/>
              <w:bottom w:w="0" w:type="dxa"/>
            </w:tcMar>
            <w:vAlign w:val="center"/>
          </w:tcPr>
          <w:p w14:paraId="181C7B9E" w14:textId="77777777" w:rsidR="00B8345E" w:rsidRDefault="00000000">
            <w:pPr>
              <w:keepNext/>
              <w:keepLines/>
              <w:spacing w:after="0" w:line="240" w:lineRule="auto"/>
              <w:jc w:val="right"/>
            </w:pPr>
            <w:r>
              <w:rPr>
                <w:b/>
                <w:sz w:val="18"/>
              </w:rPr>
              <w:t>2.987.380,74</w:t>
            </w:r>
          </w:p>
        </w:tc>
        <w:tc>
          <w:tcPr>
            <w:tcW w:w="1860" w:type="dxa"/>
            <w:tcMar>
              <w:top w:w="0" w:type="dxa"/>
              <w:bottom w:w="0" w:type="dxa"/>
            </w:tcMar>
            <w:vAlign w:val="center"/>
          </w:tcPr>
          <w:p w14:paraId="181C7B9F" w14:textId="77777777" w:rsidR="00B8345E" w:rsidRDefault="00000000">
            <w:pPr>
              <w:keepNext/>
              <w:keepLines/>
              <w:spacing w:after="0" w:line="240" w:lineRule="auto"/>
              <w:jc w:val="right"/>
            </w:pPr>
            <w:r>
              <w:rPr>
                <w:b/>
                <w:sz w:val="18"/>
              </w:rPr>
              <w:t>213.546,96</w:t>
            </w:r>
          </w:p>
        </w:tc>
        <w:tc>
          <w:tcPr>
            <w:tcW w:w="700" w:type="dxa"/>
            <w:tcMar>
              <w:top w:w="0" w:type="dxa"/>
              <w:bottom w:w="0" w:type="dxa"/>
            </w:tcMar>
            <w:vAlign w:val="center"/>
          </w:tcPr>
          <w:p w14:paraId="181C7BA0" w14:textId="77777777" w:rsidR="00B8345E" w:rsidRDefault="00000000">
            <w:pPr>
              <w:keepNext/>
              <w:keepLines/>
              <w:spacing w:after="0" w:line="240" w:lineRule="auto"/>
              <w:jc w:val="right"/>
            </w:pPr>
            <w:r>
              <w:rPr>
                <w:b/>
                <w:sz w:val="18"/>
              </w:rPr>
              <w:t>7,1</w:t>
            </w:r>
          </w:p>
        </w:tc>
      </w:tr>
      <w:tr w:rsidR="00B8345E" w14:paraId="181C7BA8" w14:textId="77777777">
        <w:tblPrEx>
          <w:tblCellMar>
            <w:top w:w="0" w:type="dxa"/>
            <w:bottom w:w="0" w:type="dxa"/>
          </w:tblCellMar>
        </w:tblPrEx>
        <w:trPr>
          <w:cantSplit/>
          <w:trHeight w:val="560"/>
        </w:trPr>
        <w:tc>
          <w:tcPr>
            <w:tcW w:w="700" w:type="dxa"/>
            <w:tcMar>
              <w:top w:w="0" w:type="dxa"/>
              <w:bottom w:w="0" w:type="dxa"/>
            </w:tcMar>
            <w:vAlign w:val="center"/>
          </w:tcPr>
          <w:p w14:paraId="181C7BA2" w14:textId="77777777" w:rsidR="00B8345E" w:rsidRDefault="00000000">
            <w:pPr>
              <w:keepNext/>
              <w:keepLines/>
              <w:spacing w:after="0" w:line="240" w:lineRule="auto"/>
            </w:pPr>
            <w:r>
              <w:rPr>
                <w:sz w:val="18"/>
              </w:rPr>
              <w:t>7</w:t>
            </w:r>
          </w:p>
        </w:tc>
        <w:tc>
          <w:tcPr>
            <w:tcW w:w="3180" w:type="dxa"/>
            <w:tcMar>
              <w:top w:w="0" w:type="dxa"/>
              <w:bottom w:w="0" w:type="dxa"/>
            </w:tcMar>
            <w:vAlign w:val="center"/>
          </w:tcPr>
          <w:p w14:paraId="181C7BA3" w14:textId="77777777" w:rsidR="00B8345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81C7BA4" w14:textId="77777777" w:rsidR="00B8345E" w:rsidRDefault="00000000">
            <w:pPr>
              <w:keepNext/>
              <w:keepLines/>
              <w:spacing w:after="0" w:line="240" w:lineRule="auto"/>
            </w:pPr>
            <w:r>
              <w:rPr>
                <w:sz w:val="18"/>
              </w:rPr>
              <w:t>7</w:t>
            </w:r>
          </w:p>
        </w:tc>
        <w:tc>
          <w:tcPr>
            <w:tcW w:w="1860" w:type="dxa"/>
            <w:tcMar>
              <w:top w:w="0" w:type="dxa"/>
              <w:bottom w:w="0" w:type="dxa"/>
            </w:tcMar>
            <w:vAlign w:val="center"/>
          </w:tcPr>
          <w:p w14:paraId="181C7BA5" w14:textId="77777777" w:rsidR="00B8345E" w:rsidRDefault="00000000">
            <w:pPr>
              <w:keepNext/>
              <w:keepLines/>
              <w:spacing w:after="0" w:line="240" w:lineRule="auto"/>
              <w:jc w:val="right"/>
            </w:pPr>
            <w:r>
              <w:rPr>
                <w:sz w:val="18"/>
              </w:rPr>
              <w:t>834.321,48</w:t>
            </w:r>
          </w:p>
        </w:tc>
        <w:tc>
          <w:tcPr>
            <w:tcW w:w="1860" w:type="dxa"/>
            <w:tcMar>
              <w:top w:w="0" w:type="dxa"/>
              <w:bottom w:w="0" w:type="dxa"/>
            </w:tcMar>
            <w:vAlign w:val="center"/>
          </w:tcPr>
          <w:p w14:paraId="181C7BA6" w14:textId="77777777" w:rsidR="00B8345E" w:rsidRDefault="00000000">
            <w:pPr>
              <w:keepNext/>
              <w:keepLines/>
              <w:spacing w:after="0" w:line="240" w:lineRule="auto"/>
              <w:jc w:val="right"/>
            </w:pPr>
            <w:r>
              <w:rPr>
                <w:sz w:val="18"/>
              </w:rPr>
              <w:t>2.243.540,37</w:t>
            </w:r>
          </w:p>
        </w:tc>
        <w:tc>
          <w:tcPr>
            <w:tcW w:w="700" w:type="dxa"/>
            <w:tcMar>
              <w:top w:w="0" w:type="dxa"/>
              <w:bottom w:w="0" w:type="dxa"/>
            </w:tcMar>
            <w:vAlign w:val="center"/>
          </w:tcPr>
          <w:p w14:paraId="181C7BA7" w14:textId="77777777" w:rsidR="00B8345E" w:rsidRDefault="00000000">
            <w:pPr>
              <w:keepNext/>
              <w:keepLines/>
              <w:spacing w:after="0" w:line="240" w:lineRule="auto"/>
              <w:jc w:val="right"/>
            </w:pPr>
            <w:r>
              <w:rPr>
                <w:sz w:val="18"/>
              </w:rPr>
              <w:t>268,9</w:t>
            </w:r>
          </w:p>
        </w:tc>
      </w:tr>
      <w:tr w:rsidR="00B8345E" w14:paraId="181C7BAF" w14:textId="77777777">
        <w:tblPrEx>
          <w:tblCellMar>
            <w:top w:w="0" w:type="dxa"/>
            <w:bottom w:w="0" w:type="dxa"/>
          </w:tblCellMar>
        </w:tblPrEx>
        <w:trPr>
          <w:cantSplit/>
          <w:trHeight w:val="560"/>
        </w:trPr>
        <w:tc>
          <w:tcPr>
            <w:tcW w:w="700" w:type="dxa"/>
            <w:tcMar>
              <w:top w:w="0" w:type="dxa"/>
              <w:bottom w:w="0" w:type="dxa"/>
            </w:tcMar>
            <w:vAlign w:val="center"/>
          </w:tcPr>
          <w:p w14:paraId="181C7BA9" w14:textId="77777777" w:rsidR="00B8345E" w:rsidRDefault="00000000">
            <w:pPr>
              <w:keepNext/>
              <w:keepLines/>
              <w:spacing w:after="0" w:line="240" w:lineRule="auto"/>
            </w:pPr>
            <w:r>
              <w:rPr>
                <w:sz w:val="18"/>
              </w:rPr>
              <w:t>4</w:t>
            </w:r>
          </w:p>
        </w:tc>
        <w:tc>
          <w:tcPr>
            <w:tcW w:w="3180" w:type="dxa"/>
            <w:tcMar>
              <w:top w:w="0" w:type="dxa"/>
              <w:bottom w:w="0" w:type="dxa"/>
            </w:tcMar>
            <w:vAlign w:val="center"/>
          </w:tcPr>
          <w:p w14:paraId="181C7BAA" w14:textId="77777777" w:rsidR="00B8345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81C7BAB" w14:textId="77777777" w:rsidR="00B8345E" w:rsidRDefault="00000000">
            <w:pPr>
              <w:keepNext/>
              <w:keepLines/>
              <w:spacing w:after="0" w:line="240" w:lineRule="auto"/>
            </w:pPr>
            <w:r>
              <w:rPr>
                <w:sz w:val="18"/>
              </w:rPr>
              <w:t>4</w:t>
            </w:r>
          </w:p>
        </w:tc>
        <w:tc>
          <w:tcPr>
            <w:tcW w:w="1860" w:type="dxa"/>
            <w:tcMar>
              <w:top w:w="0" w:type="dxa"/>
              <w:bottom w:w="0" w:type="dxa"/>
            </w:tcMar>
            <w:vAlign w:val="center"/>
          </w:tcPr>
          <w:p w14:paraId="181C7BAC" w14:textId="77777777" w:rsidR="00B8345E" w:rsidRDefault="00000000">
            <w:pPr>
              <w:keepNext/>
              <w:keepLines/>
              <w:spacing w:after="0" w:line="240" w:lineRule="auto"/>
              <w:jc w:val="right"/>
            </w:pPr>
            <w:r>
              <w:rPr>
                <w:sz w:val="18"/>
              </w:rPr>
              <w:t>2.655.612,02</w:t>
            </w:r>
          </w:p>
        </w:tc>
        <w:tc>
          <w:tcPr>
            <w:tcW w:w="1860" w:type="dxa"/>
            <w:tcMar>
              <w:top w:w="0" w:type="dxa"/>
              <w:bottom w:w="0" w:type="dxa"/>
            </w:tcMar>
            <w:vAlign w:val="center"/>
          </w:tcPr>
          <w:p w14:paraId="181C7BAD" w14:textId="77777777" w:rsidR="00B8345E" w:rsidRDefault="00000000">
            <w:pPr>
              <w:keepNext/>
              <w:keepLines/>
              <w:spacing w:after="0" w:line="240" w:lineRule="auto"/>
              <w:jc w:val="right"/>
            </w:pPr>
            <w:r>
              <w:rPr>
                <w:sz w:val="18"/>
              </w:rPr>
              <w:t>7.465.774,90</w:t>
            </w:r>
          </w:p>
        </w:tc>
        <w:tc>
          <w:tcPr>
            <w:tcW w:w="700" w:type="dxa"/>
            <w:tcMar>
              <w:top w:w="0" w:type="dxa"/>
              <w:bottom w:w="0" w:type="dxa"/>
            </w:tcMar>
            <w:vAlign w:val="center"/>
          </w:tcPr>
          <w:p w14:paraId="181C7BAE" w14:textId="77777777" w:rsidR="00B8345E" w:rsidRDefault="00000000">
            <w:pPr>
              <w:keepNext/>
              <w:keepLines/>
              <w:spacing w:after="0" w:line="240" w:lineRule="auto"/>
              <w:jc w:val="right"/>
            </w:pPr>
            <w:r>
              <w:rPr>
                <w:sz w:val="18"/>
              </w:rPr>
              <w:t>281,1</w:t>
            </w:r>
          </w:p>
        </w:tc>
      </w:tr>
      <w:tr w:rsidR="00B8345E" w14:paraId="181C7BB6" w14:textId="77777777">
        <w:tblPrEx>
          <w:tblCellMar>
            <w:top w:w="0" w:type="dxa"/>
            <w:bottom w:w="0" w:type="dxa"/>
          </w:tblCellMar>
        </w:tblPrEx>
        <w:trPr>
          <w:cantSplit/>
          <w:trHeight w:val="560"/>
        </w:trPr>
        <w:tc>
          <w:tcPr>
            <w:tcW w:w="700" w:type="dxa"/>
            <w:tcMar>
              <w:top w:w="0" w:type="dxa"/>
              <w:bottom w:w="0" w:type="dxa"/>
            </w:tcMar>
            <w:vAlign w:val="center"/>
          </w:tcPr>
          <w:p w14:paraId="181C7BB0" w14:textId="77777777" w:rsidR="00B8345E" w:rsidRDefault="00B8345E">
            <w:pPr>
              <w:keepNext/>
              <w:keepLines/>
              <w:spacing w:after="0" w:line="240" w:lineRule="auto"/>
            </w:pPr>
          </w:p>
        </w:tc>
        <w:tc>
          <w:tcPr>
            <w:tcW w:w="3180" w:type="dxa"/>
            <w:tcMar>
              <w:top w:w="0" w:type="dxa"/>
              <w:bottom w:w="0" w:type="dxa"/>
            </w:tcMar>
            <w:vAlign w:val="center"/>
          </w:tcPr>
          <w:p w14:paraId="181C7BB1" w14:textId="77777777" w:rsidR="00B8345E"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81C7BB2" w14:textId="77777777" w:rsidR="00B8345E" w:rsidRDefault="00000000">
            <w:pPr>
              <w:keepNext/>
              <w:keepLines/>
              <w:spacing w:after="0" w:line="240" w:lineRule="auto"/>
            </w:pPr>
            <w:r>
              <w:rPr>
                <w:b/>
                <w:sz w:val="18"/>
              </w:rPr>
              <w:t>Y002</w:t>
            </w:r>
          </w:p>
        </w:tc>
        <w:tc>
          <w:tcPr>
            <w:tcW w:w="1860" w:type="dxa"/>
            <w:tcMar>
              <w:top w:w="0" w:type="dxa"/>
              <w:bottom w:w="0" w:type="dxa"/>
            </w:tcMar>
            <w:vAlign w:val="center"/>
          </w:tcPr>
          <w:p w14:paraId="181C7BB3" w14:textId="77777777" w:rsidR="00B8345E" w:rsidRDefault="00000000">
            <w:pPr>
              <w:keepNext/>
              <w:keepLines/>
              <w:spacing w:after="0" w:line="240" w:lineRule="auto"/>
              <w:jc w:val="right"/>
            </w:pPr>
            <w:r>
              <w:rPr>
                <w:b/>
                <w:sz w:val="18"/>
              </w:rPr>
              <w:t>1.821.290,54</w:t>
            </w:r>
          </w:p>
        </w:tc>
        <w:tc>
          <w:tcPr>
            <w:tcW w:w="1860" w:type="dxa"/>
            <w:tcMar>
              <w:top w:w="0" w:type="dxa"/>
              <w:bottom w:w="0" w:type="dxa"/>
            </w:tcMar>
            <w:vAlign w:val="center"/>
          </w:tcPr>
          <w:p w14:paraId="181C7BB4" w14:textId="77777777" w:rsidR="00B8345E" w:rsidRDefault="00000000">
            <w:pPr>
              <w:keepNext/>
              <w:keepLines/>
              <w:spacing w:after="0" w:line="240" w:lineRule="auto"/>
              <w:jc w:val="right"/>
            </w:pPr>
            <w:r>
              <w:rPr>
                <w:b/>
                <w:sz w:val="18"/>
              </w:rPr>
              <w:t>5.222.234,53</w:t>
            </w:r>
          </w:p>
        </w:tc>
        <w:tc>
          <w:tcPr>
            <w:tcW w:w="700" w:type="dxa"/>
            <w:tcMar>
              <w:top w:w="0" w:type="dxa"/>
              <w:bottom w:w="0" w:type="dxa"/>
            </w:tcMar>
            <w:vAlign w:val="center"/>
          </w:tcPr>
          <w:p w14:paraId="181C7BB5" w14:textId="77777777" w:rsidR="00B8345E" w:rsidRDefault="00000000">
            <w:pPr>
              <w:keepNext/>
              <w:keepLines/>
              <w:spacing w:after="0" w:line="240" w:lineRule="auto"/>
              <w:jc w:val="right"/>
            </w:pPr>
            <w:r>
              <w:rPr>
                <w:b/>
                <w:sz w:val="18"/>
              </w:rPr>
              <w:t>286,7</w:t>
            </w:r>
          </w:p>
        </w:tc>
      </w:tr>
      <w:tr w:rsidR="00B8345E" w14:paraId="181C7BBD" w14:textId="77777777">
        <w:tblPrEx>
          <w:tblCellMar>
            <w:top w:w="0" w:type="dxa"/>
            <w:bottom w:w="0" w:type="dxa"/>
          </w:tblCellMar>
        </w:tblPrEx>
        <w:trPr>
          <w:cantSplit/>
          <w:trHeight w:val="560"/>
        </w:trPr>
        <w:tc>
          <w:tcPr>
            <w:tcW w:w="700" w:type="dxa"/>
            <w:tcMar>
              <w:top w:w="0" w:type="dxa"/>
              <w:bottom w:w="0" w:type="dxa"/>
            </w:tcMar>
            <w:vAlign w:val="center"/>
          </w:tcPr>
          <w:p w14:paraId="181C7BB7" w14:textId="77777777" w:rsidR="00B8345E" w:rsidRDefault="00000000">
            <w:pPr>
              <w:keepNext/>
              <w:keepLines/>
              <w:spacing w:after="0" w:line="240" w:lineRule="auto"/>
            </w:pPr>
            <w:r>
              <w:rPr>
                <w:sz w:val="18"/>
              </w:rPr>
              <w:t>8</w:t>
            </w:r>
          </w:p>
        </w:tc>
        <w:tc>
          <w:tcPr>
            <w:tcW w:w="3180" w:type="dxa"/>
            <w:tcMar>
              <w:top w:w="0" w:type="dxa"/>
              <w:bottom w:w="0" w:type="dxa"/>
            </w:tcMar>
            <w:vAlign w:val="center"/>
          </w:tcPr>
          <w:p w14:paraId="181C7BB8" w14:textId="77777777" w:rsidR="00B8345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81C7BB9" w14:textId="77777777" w:rsidR="00B8345E" w:rsidRDefault="00000000">
            <w:pPr>
              <w:keepNext/>
              <w:keepLines/>
              <w:spacing w:after="0" w:line="240" w:lineRule="auto"/>
            </w:pPr>
            <w:r>
              <w:rPr>
                <w:sz w:val="18"/>
              </w:rPr>
              <w:t>8</w:t>
            </w:r>
          </w:p>
        </w:tc>
        <w:tc>
          <w:tcPr>
            <w:tcW w:w="1860" w:type="dxa"/>
            <w:tcMar>
              <w:top w:w="0" w:type="dxa"/>
              <w:bottom w:w="0" w:type="dxa"/>
            </w:tcMar>
            <w:vAlign w:val="center"/>
          </w:tcPr>
          <w:p w14:paraId="181C7BBA" w14:textId="77777777" w:rsidR="00B8345E" w:rsidRDefault="00000000">
            <w:pPr>
              <w:keepNext/>
              <w:keepLines/>
              <w:spacing w:after="0" w:line="240" w:lineRule="auto"/>
              <w:jc w:val="right"/>
            </w:pPr>
            <w:r>
              <w:rPr>
                <w:sz w:val="18"/>
              </w:rPr>
              <w:t>1.118.572,17</w:t>
            </w:r>
          </w:p>
        </w:tc>
        <w:tc>
          <w:tcPr>
            <w:tcW w:w="1860" w:type="dxa"/>
            <w:tcMar>
              <w:top w:w="0" w:type="dxa"/>
              <w:bottom w:w="0" w:type="dxa"/>
            </w:tcMar>
            <w:vAlign w:val="center"/>
          </w:tcPr>
          <w:p w14:paraId="181C7BBB" w14:textId="77777777" w:rsidR="00B8345E" w:rsidRDefault="00000000">
            <w:pPr>
              <w:keepNext/>
              <w:keepLines/>
              <w:spacing w:after="0" w:line="240" w:lineRule="auto"/>
              <w:jc w:val="right"/>
            </w:pPr>
            <w:r>
              <w:rPr>
                <w:sz w:val="18"/>
              </w:rPr>
              <w:t>5.994.794,62</w:t>
            </w:r>
          </w:p>
        </w:tc>
        <w:tc>
          <w:tcPr>
            <w:tcW w:w="700" w:type="dxa"/>
            <w:tcMar>
              <w:top w:w="0" w:type="dxa"/>
              <w:bottom w:w="0" w:type="dxa"/>
            </w:tcMar>
            <w:vAlign w:val="center"/>
          </w:tcPr>
          <w:p w14:paraId="181C7BBC" w14:textId="77777777" w:rsidR="00B8345E" w:rsidRDefault="00000000">
            <w:pPr>
              <w:keepNext/>
              <w:keepLines/>
              <w:spacing w:after="0" w:line="240" w:lineRule="auto"/>
              <w:jc w:val="right"/>
            </w:pPr>
            <w:r>
              <w:rPr>
                <w:sz w:val="18"/>
              </w:rPr>
              <w:t>535,9</w:t>
            </w:r>
          </w:p>
        </w:tc>
      </w:tr>
      <w:tr w:rsidR="00B8345E" w14:paraId="181C7BC4" w14:textId="77777777">
        <w:tblPrEx>
          <w:tblCellMar>
            <w:top w:w="0" w:type="dxa"/>
            <w:bottom w:w="0" w:type="dxa"/>
          </w:tblCellMar>
        </w:tblPrEx>
        <w:trPr>
          <w:cantSplit/>
          <w:trHeight w:val="560"/>
        </w:trPr>
        <w:tc>
          <w:tcPr>
            <w:tcW w:w="700" w:type="dxa"/>
            <w:tcMar>
              <w:top w:w="0" w:type="dxa"/>
              <w:bottom w:w="0" w:type="dxa"/>
            </w:tcMar>
            <w:vAlign w:val="center"/>
          </w:tcPr>
          <w:p w14:paraId="181C7BBE" w14:textId="77777777" w:rsidR="00B8345E" w:rsidRDefault="00000000">
            <w:pPr>
              <w:keepNext/>
              <w:keepLines/>
              <w:spacing w:after="0" w:line="240" w:lineRule="auto"/>
            </w:pPr>
            <w:r>
              <w:rPr>
                <w:sz w:val="18"/>
              </w:rPr>
              <w:t>5</w:t>
            </w:r>
          </w:p>
        </w:tc>
        <w:tc>
          <w:tcPr>
            <w:tcW w:w="3180" w:type="dxa"/>
            <w:tcMar>
              <w:top w:w="0" w:type="dxa"/>
              <w:bottom w:w="0" w:type="dxa"/>
            </w:tcMar>
            <w:vAlign w:val="center"/>
          </w:tcPr>
          <w:p w14:paraId="181C7BBF" w14:textId="77777777" w:rsidR="00B8345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81C7BC0" w14:textId="77777777" w:rsidR="00B8345E" w:rsidRDefault="00000000">
            <w:pPr>
              <w:keepNext/>
              <w:keepLines/>
              <w:spacing w:after="0" w:line="240" w:lineRule="auto"/>
            </w:pPr>
            <w:r>
              <w:rPr>
                <w:sz w:val="18"/>
              </w:rPr>
              <w:t>5</w:t>
            </w:r>
          </w:p>
        </w:tc>
        <w:tc>
          <w:tcPr>
            <w:tcW w:w="1860" w:type="dxa"/>
            <w:tcMar>
              <w:top w:w="0" w:type="dxa"/>
              <w:bottom w:w="0" w:type="dxa"/>
            </w:tcMar>
            <w:vAlign w:val="center"/>
          </w:tcPr>
          <w:p w14:paraId="181C7BC1" w14:textId="77777777" w:rsidR="00B8345E" w:rsidRDefault="00000000">
            <w:pPr>
              <w:keepNext/>
              <w:keepLines/>
              <w:spacing w:after="0" w:line="240" w:lineRule="auto"/>
              <w:jc w:val="right"/>
            </w:pPr>
            <w:r>
              <w:rPr>
                <w:sz w:val="18"/>
              </w:rPr>
              <w:t>472.585,80</w:t>
            </w:r>
          </w:p>
        </w:tc>
        <w:tc>
          <w:tcPr>
            <w:tcW w:w="1860" w:type="dxa"/>
            <w:tcMar>
              <w:top w:w="0" w:type="dxa"/>
              <w:bottom w:w="0" w:type="dxa"/>
            </w:tcMar>
            <w:vAlign w:val="center"/>
          </w:tcPr>
          <w:p w14:paraId="181C7BC2" w14:textId="77777777" w:rsidR="00B8345E" w:rsidRDefault="00000000">
            <w:pPr>
              <w:keepNext/>
              <w:keepLines/>
              <w:spacing w:after="0" w:line="240" w:lineRule="auto"/>
              <w:jc w:val="right"/>
            </w:pPr>
            <w:r>
              <w:rPr>
                <w:sz w:val="18"/>
              </w:rPr>
              <w:t>2.743.966,45</w:t>
            </w:r>
          </w:p>
        </w:tc>
        <w:tc>
          <w:tcPr>
            <w:tcW w:w="700" w:type="dxa"/>
            <w:tcMar>
              <w:top w:w="0" w:type="dxa"/>
              <w:bottom w:w="0" w:type="dxa"/>
            </w:tcMar>
            <w:vAlign w:val="center"/>
          </w:tcPr>
          <w:p w14:paraId="181C7BC3" w14:textId="77777777" w:rsidR="00B8345E" w:rsidRDefault="00000000">
            <w:pPr>
              <w:keepNext/>
              <w:keepLines/>
              <w:spacing w:after="0" w:line="240" w:lineRule="auto"/>
              <w:jc w:val="right"/>
            </w:pPr>
            <w:r>
              <w:rPr>
                <w:sz w:val="18"/>
              </w:rPr>
              <w:t>580,6</w:t>
            </w:r>
          </w:p>
        </w:tc>
      </w:tr>
      <w:tr w:rsidR="00B8345E" w14:paraId="181C7BCB" w14:textId="77777777">
        <w:tblPrEx>
          <w:tblCellMar>
            <w:top w:w="0" w:type="dxa"/>
            <w:bottom w:w="0" w:type="dxa"/>
          </w:tblCellMar>
        </w:tblPrEx>
        <w:trPr>
          <w:cantSplit/>
          <w:trHeight w:val="560"/>
        </w:trPr>
        <w:tc>
          <w:tcPr>
            <w:tcW w:w="700" w:type="dxa"/>
            <w:tcMar>
              <w:top w:w="0" w:type="dxa"/>
              <w:bottom w:w="0" w:type="dxa"/>
            </w:tcMar>
            <w:vAlign w:val="center"/>
          </w:tcPr>
          <w:p w14:paraId="181C7BC5" w14:textId="77777777" w:rsidR="00B8345E" w:rsidRDefault="00B8345E">
            <w:pPr>
              <w:keepNext/>
              <w:keepLines/>
              <w:spacing w:after="0" w:line="240" w:lineRule="auto"/>
            </w:pPr>
          </w:p>
        </w:tc>
        <w:tc>
          <w:tcPr>
            <w:tcW w:w="3180" w:type="dxa"/>
            <w:tcMar>
              <w:top w:w="0" w:type="dxa"/>
              <w:bottom w:w="0" w:type="dxa"/>
            </w:tcMar>
            <w:vAlign w:val="center"/>
          </w:tcPr>
          <w:p w14:paraId="181C7BC6" w14:textId="77777777" w:rsidR="00B8345E"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181C7BC7" w14:textId="77777777" w:rsidR="00B8345E" w:rsidRDefault="00000000">
            <w:pPr>
              <w:keepNext/>
              <w:keepLines/>
              <w:spacing w:after="0" w:line="240" w:lineRule="auto"/>
            </w:pPr>
            <w:r>
              <w:rPr>
                <w:b/>
                <w:sz w:val="18"/>
              </w:rPr>
              <w:t>X003</w:t>
            </w:r>
          </w:p>
        </w:tc>
        <w:tc>
          <w:tcPr>
            <w:tcW w:w="1860" w:type="dxa"/>
            <w:tcMar>
              <w:top w:w="0" w:type="dxa"/>
              <w:bottom w:w="0" w:type="dxa"/>
            </w:tcMar>
            <w:vAlign w:val="center"/>
          </w:tcPr>
          <w:p w14:paraId="181C7BC8" w14:textId="77777777" w:rsidR="00B8345E" w:rsidRDefault="00000000">
            <w:pPr>
              <w:keepNext/>
              <w:keepLines/>
              <w:spacing w:after="0" w:line="240" w:lineRule="auto"/>
              <w:jc w:val="right"/>
            </w:pPr>
            <w:r>
              <w:rPr>
                <w:b/>
                <w:sz w:val="18"/>
              </w:rPr>
              <w:t>645.986,37</w:t>
            </w:r>
          </w:p>
        </w:tc>
        <w:tc>
          <w:tcPr>
            <w:tcW w:w="1860" w:type="dxa"/>
            <w:tcMar>
              <w:top w:w="0" w:type="dxa"/>
              <w:bottom w:w="0" w:type="dxa"/>
            </w:tcMar>
            <w:vAlign w:val="center"/>
          </w:tcPr>
          <w:p w14:paraId="181C7BC9" w14:textId="77777777" w:rsidR="00B8345E" w:rsidRDefault="00000000">
            <w:pPr>
              <w:keepNext/>
              <w:keepLines/>
              <w:spacing w:after="0" w:line="240" w:lineRule="auto"/>
              <w:jc w:val="right"/>
            </w:pPr>
            <w:r>
              <w:rPr>
                <w:b/>
                <w:sz w:val="18"/>
              </w:rPr>
              <w:t>3.250.828,17</w:t>
            </w:r>
          </w:p>
        </w:tc>
        <w:tc>
          <w:tcPr>
            <w:tcW w:w="700" w:type="dxa"/>
            <w:tcMar>
              <w:top w:w="0" w:type="dxa"/>
              <w:bottom w:w="0" w:type="dxa"/>
            </w:tcMar>
            <w:vAlign w:val="center"/>
          </w:tcPr>
          <w:p w14:paraId="181C7BCA" w14:textId="77777777" w:rsidR="00B8345E" w:rsidRDefault="00000000">
            <w:pPr>
              <w:keepNext/>
              <w:keepLines/>
              <w:spacing w:after="0" w:line="240" w:lineRule="auto"/>
              <w:jc w:val="right"/>
            </w:pPr>
            <w:r>
              <w:rPr>
                <w:b/>
                <w:sz w:val="18"/>
              </w:rPr>
              <w:t>503,2</w:t>
            </w:r>
          </w:p>
        </w:tc>
      </w:tr>
      <w:tr w:rsidR="00B8345E" w14:paraId="181C7BD2" w14:textId="77777777">
        <w:tblPrEx>
          <w:tblCellMar>
            <w:top w:w="0" w:type="dxa"/>
            <w:bottom w:w="0" w:type="dxa"/>
          </w:tblCellMar>
        </w:tblPrEx>
        <w:trPr>
          <w:cantSplit/>
          <w:trHeight w:val="560"/>
        </w:trPr>
        <w:tc>
          <w:tcPr>
            <w:tcW w:w="700" w:type="dxa"/>
            <w:tcMar>
              <w:top w:w="0" w:type="dxa"/>
              <w:bottom w:w="0" w:type="dxa"/>
            </w:tcMar>
            <w:vAlign w:val="center"/>
          </w:tcPr>
          <w:p w14:paraId="181C7BCC" w14:textId="77777777" w:rsidR="00B8345E" w:rsidRDefault="00B8345E">
            <w:pPr>
              <w:keepNext/>
              <w:keepLines/>
              <w:spacing w:after="0" w:line="240" w:lineRule="auto"/>
            </w:pPr>
          </w:p>
        </w:tc>
        <w:tc>
          <w:tcPr>
            <w:tcW w:w="3180" w:type="dxa"/>
            <w:tcMar>
              <w:top w:w="0" w:type="dxa"/>
              <w:bottom w:w="0" w:type="dxa"/>
            </w:tcMar>
            <w:vAlign w:val="center"/>
          </w:tcPr>
          <w:p w14:paraId="181C7BCD" w14:textId="77777777" w:rsidR="00B8345E"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81C7BCE" w14:textId="77777777" w:rsidR="00B8345E" w:rsidRDefault="00000000">
            <w:pPr>
              <w:keepNext/>
              <w:keepLines/>
              <w:spacing w:after="0" w:line="240" w:lineRule="auto"/>
            </w:pPr>
            <w:r>
              <w:rPr>
                <w:b/>
                <w:sz w:val="18"/>
              </w:rPr>
              <w:t>Y005</w:t>
            </w:r>
          </w:p>
        </w:tc>
        <w:tc>
          <w:tcPr>
            <w:tcW w:w="1860" w:type="dxa"/>
            <w:tcMar>
              <w:top w:w="0" w:type="dxa"/>
              <w:bottom w:w="0" w:type="dxa"/>
            </w:tcMar>
            <w:vAlign w:val="center"/>
          </w:tcPr>
          <w:p w14:paraId="181C7BCF" w14:textId="77777777" w:rsidR="00B8345E" w:rsidRDefault="00000000">
            <w:pPr>
              <w:keepNext/>
              <w:keepLines/>
              <w:spacing w:after="0" w:line="240" w:lineRule="auto"/>
              <w:jc w:val="right"/>
            </w:pPr>
            <w:r>
              <w:rPr>
                <w:b/>
                <w:sz w:val="18"/>
              </w:rPr>
              <w:t>0,00</w:t>
            </w:r>
          </w:p>
        </w:tc>
        <w:tc>
          <w:tcPr>
            <w:tcW w:w="1860" w:type="dxa"/>
            <w:tcMar>
              <w:top w:w="0" w:type="dxa"/>
              <w:bottom w:w="0" w:type="dxa"/>
            </w:tcMar>
            <w:vAlign w:val="center"/>
          </w:tcPr>
          <w:p w14:paraId="181C7BD0" w14:textId="77777777" w:rsidR="00B8345E" w:rsidRDefault="00000000">
            <w:pPr>
              <w:keepNext/>
              <w:keepLines/>
              <w:spacing w:after="0" w:line="240" w:lineRule="auto"/>
              <w:jc w:val="right"/>
            </w:pPr>
            <w:r>
              <w:rPr>
                <w:b/>
                <w:sz w:val="18"/>
              </w:rPr>
              <w:t>1.757.859,40</w:t>
            </w:r>
          </w:p>
        </w:tc>
        <w:tc>
          <w:tcPr>
            <w:tcW w:w="700" w:type="dxa"/>
            <w:tcMar>
              <w:top w:w="0" w:type="dxa"/>
              <w:bottom w:w="0" w:type="dxa"/>
            </w:tcMar>
            <w:vAlign w:val="center"/>
          </w:tcPr>
          <w:p w14:paraId="181C7BD1" w14:textId="77777777" w:rsidR="00B8345E" w:rsidRDefault="00000000">
            <w:pPr>
              <w:keepNext/>
              <w:keepLines/>
              <w:spacing w:after="0" w:line="240" w:lineRule="auto"/>
              <w:jc w:val="right"/>
            </w:pPr>
            <w:r>
              <w:rPr>
                <w:b/>
                <w:sz w:val="18"/>
              </w:rPr>
              <w:t>-</w:t>
            </w:r>
          </w:p>
        </w:tc>
      </w:tr>
    </w:tbl>
    <w:p w14:paraId="181C7BD3" w14:textId="77777777" w:rsidR="00B8345E" w:rsidRDefault="00B8345E">
      <w:pPr>
        <w:spacing w:after="0"/>
      </w:pPr>
    </w:p>
    <w:p w14:paraId="181C7BD4" w14:textId="77777777" w:rsidR="00B8345E" w:rsidRDefault="00000000">
      <w:r>
        <w:t>1. ZAKONSKI OKVIR I METODOLOŠKE PROMJENE U 2025. GODINI</w:t>
      </w:r>
      <w:r>
        <w:br/>
        <w:t>Financijski izvještaji za razdoblje od 1. siječnja do 31. prosinca 2025. godine sastavljeni su sukladno odredbama novog Pravilnika o proračunskom računovodstvu i Računskom planu (Narodne novine, br. 158/23 i 154/24), koji je stupio na snagu 1. siječnja 2025. godine.</w:t>
      </w:r>
      <w:r>
        <w:br/>
        <w:t xml:space="preserve">Ovo je prvo izvještajno razdoblje u kojem se primjenjuju nova računovodstvena pravila, što je rezultiralo značajnim promjenama u evidentiranju poslovnih događaja i strukturi financijskih </w:t>
      </w:r>
      <w:r>
        <w:lastRenderedPageBreak/>
        <w:t>izvještaja u odnosu na prethodna razdoblja. Ključne metodološke promjene koje su utjecale na iskazane podatke uključuju:</w:t>
      </w:r>
      <w:r>
        <w:br/>
        <w:t>• Prijelaz na modificirano načelo nastanka događaja za EU sredstva: Od 1. siječnja 2025. godine uvedena je obveza evidentiranja potraživanja i obračunatih prihoda za pomoći od institucija i tijela EU te pomoći unutar općeg proračuna temeljem prijenosa EU sredstava. Prihodi se sada priznaju u izvještajnom razdoblju u kojem su postali raspoloživi i mjerljivi, a ne isključivo po naplati, što je utjecalo na iskazani rezultat poslovanja [Izvor 193, 194, 289].</w:t>
      </w:r>
      <w:r>
        <w:br/>
        <w:t>• Ukidanje podskupine računa 193: Sukladno članku 233. novog Pravilnika, ukinuta je podskupina Kontinuirani rashodi budućih razdoblja, te se svi rashodi priznaju u mjesecu nastanka poslovnog događaja, što je zahtijevalo prilagodbu u evidentiranju rashoda na prijelazu godina [Izvor 373, 374].</w:t>
      </w:r>
      <w:r>
        <w:br/>
        <w:t>• Nove proračunske klasifikacije: Primijenjene su nove jedinstvene oznake izvora financiranja za praćenje EU sredstava te nove pozicije za evidentiranje poreza na nekretnine, koji je uveden s 1. siječnja 2025. godine [Izvor 1, 490].</w:t>
      </w:r>
      <w:r>
        <w:br/>
        <w:t>Zbog navedenih sistemskih promjena, podaci u ovim financijskim izvještajima nisu u potpunosti usporedivi s podacima iz prethodne godine bez uvažavanja navedenih metodoloških razlika.</w:t>
      </w:r>
    </w:p>
    <w:p w14:paraId="181C7BD5" w14:textId="77777777" w:rsidR="00B8345E" w:rsidRDefault="00000000">
      <w:r>
        <w:t>2. OKOLNOSTI SASTAVLJANJA IZVJEŠTAJA (KADROVSKI I ORGANIZACIJSKI KONTEKST)</w:t>
      </w:r>
      <w:r>
        <w:br/>
        <w:t>Uz složenost implementacije novog regulatornog okvira opisanog u točki 1., na proces pripreme i točnost financijskih izvještaja za 2025. godinu značajno su utjecale izvanredne okolnosti u organizaciji rada Jedinstvenog upravnog odjela:</w:t>
      </w:r>
      <w:r>
        <w:br/>
        <w:t>• Kadrovski diskontinuitet: Tijekom izvještajnog razdoblja došlo je do prekida kontinuiteta u vođenju poslovnih knjiga uslijed odlaska voditeljice računovodstva na kraju godine. S obzirom na to da se radi o godini prelaska na novi sustav evidentiranja (ukidanje klase 19, nova pravila za EU fondove) i zatečeno stanje, ovaj kadrovski deficit u ključnom razdoblju onemogućio je provođenje svih uobičajenih kontrolnih postupaka i detaljnih usklađenja analitičkih evidencija iz prethodnih godina.</w:t>
      </w:r>
      <w:r>
        <w:br/>
        <w:t>• Fokus na materijalnu značajnost: Zbog navedenih ograničenih administrativnih kapaciteta i zakonskih rokova, pri izradi ovih izvještaja primijenjeno je načelo materijalne značajnosti. Prioritet je stavljen na kontrolu evidentiranja tekućih poslovnih događaja nastalih u 2025. godini, dok su salda iz prethodnih godina preuzeta u zatečenom stanju te će biti predmetom detaljne revizije i usklađenja tijekom 2026. godine, nakon stabilizacije kadrovskih uvjeta.</w:t>
      </w:r>
    </w:p>
    <w:p w14:paraId="181C7BD6" w14:textId="77777777" w:rsidR="00B8345E" w:rsidRDefault="00000000">
      <w:r>
        <w:t>3. OBRAZLOŽENJE REZULTATA POSLOVANJA (STRUKTURA MANJKA)</w:t>
      </w:r>
      <w:r>
        <w:br/>
        <w:t>U izvještajnom razdoblju Općina je iskazala manjak prihoda i primitaka (šifra Y005) u iznosu od 1.757.859,40 €. Detaljnom analizom strukture rezultata, vidljivo je da isti ne proizlazi iz neravnoteže redovnog poslovanja, već je primarno generiran sljedećim čimbenicima:</w:t>
      </w:r>
      <w:r>
        <w:br/>
        <w:t xml:space="preserve">• Kapitalna ulaganja i vremenski raskorak (EU fondovi): Najznačajniji utjecaj na rezultat imaju rashodi za nabavu nefinancijske imovine (razred 4), koji se odnose na realizaciju kapitalnih projekata: "Centar za starije i nemoćne osobe" i "Dječji vrtić </w:t>
      </w:r>
      <w:proofErr w:type="spellStart"/>
      <w:r>
        <w:t>Cvitić</w:t>
      </w:r>
      <w:proofErr w:type="spellEnd"/>
      <w:r>
        <w:t xml:space="preserve"> </w:t>
      </w:r>
      <w:proofErr w:type="spellStart"/>
      <w:r>
        <w:t>Turanj</w:t>
      </w:r>
      <w:proofErr w:type="spellEnd"/>
      <w:r>
        <w:t xml:space="preserve">". Sukladno novom Pravilniku, rashodi se priznaju u trenutku nastanka, dok se prihodi od EU i nacionalnih pomoći za ove projekte (skupina 96) priznaju dinamikom ovjere Zahtjeva za </w:t>
      </w:r>
      <w:r>
        <w:lastRenderedPageBreak/>
        <w:t>nadoknadom sredstava (ZNS). Ovaj vremenski odmak između izvršenja radova i administrativnog odobrenja prihoda stvara privremeni knjigovodstveni manjak koji će se neutralizirati u narednom razdoblju.</w:t>
      </w:r>
      <w:r>
        <w:br/>
        <w:t xml:space="preserve">• Izdaci za financijsku imovinu (Zajmovi): Na rezultat je izravno utjecao izdatak evidentiran na kontu 5141 u iznosu od 270.000,00 €, koji se odnosi na zajam (pozajmicu) trgovačkom društvu u vlasništvu Općine – </w:t>
      </w:r>
      <w:proofErr w:type="spellStart"/>
      <w:r>
        <w:t>Rogovo</w:t>
      </w:r>
      <w:proofErr w:type="spellEnd"/>
      <w:r>
        <w:t xml:space="preserve"> d.o.o.. Ovaj iznos računovodstveno predstavlja "izdatak" u Izvještaju o prihodima i rashodima, ali u suštini ne predstavlja potrošnju, već ulaganje u financijsku imovinu (potraživanje), te stoga ne ugrožava neto vrijednost imovine Općine.</w:t>
      </w:r>
      <w:r>
        <w:br/>
        <w:t>• Povećanje rashoda za zaposlene (Strukturne promjene): Zabilježen je porast rashoda za zaposlene (skupina 31) uslijed dva vanjska faktora:</w:t>
      </w:r>
      <w:r>
        <w:br/>
        <w:t>    1. Povećanje osnovice za obračun plaća (s 440,00 na 620,00 €) temeljem zakonskih izmjena.</w:t>
      </w:r>
      <w:r>
        <w:br/>
        <w:t xml:space="preserve">    2. Provedba EU projekta "Zaželi - faza IV", koji uključuje zapošljavanje teže </w:t>
      </w:r>
      <w:proofErr w:type="spellStart"/>
      <w:r>
        <w:t>zapošljivih</w:t>
      </w:r>
      <w:proofErr w:type="spellEnd"/>
      <w:r>
        <w:t xml:space="preserve"> skupina, a koji je u cijelosti financiran iz bespovratnih sredstava, te je stoga fiskalno neutralan za proračun </w:t>
      </w:r>
    </w:p>
    <w:p w14:paraId="181C7BD7" w14:textId="77777777" w:rsidR="00B8345E" w:rsidRDefault="00000000">
      <w:r>
        <w:t>4. OBRAZLOŽENJE STANJA DOSPJELIH OBVEZA Na dan 31.12.2025. godine iskazane su dospjele, a nepodmirene obveze (šifra V007) u iznosu od 670.545,57 €. Do formiranja ovog salda i prekoračenja valute plaćanja došlo je primarno zbog vanjskih čimbenika vezanih uz dinamiku financiranja EU projekata:</w:t>
      </w:r>
      <w:r>
        <w:br/>
        <w:t>• Veliki dio dospjelih obveza odnosi se na situacije za izvedene radove na kapitalnim projektima (Centar za starije, Vrtić) koje su dospjele na naplatu potkraj prosinca.</w:t>
      </w:r>
      <w:r>
        <w:br/>
        <w:t>• Općina je podnijela Zahtjeve za nadoknadu sredstava (ZNS), ali zbog administrativnih procedura kontrole od strane posredničkih tijela, priljev bespovratnih sredstava nije realiziran do 31.12.2025.</w:t>
      </w:r>
      <w:r>
        <w:br/>
        <w:t>• Navedene obveze podmirene su (ili su u planu podmirenja) u siječnju 2026. godine, odmah po priljevu sredstava i novih fiskalnih prihoda.</w:t>
      </w:r>
    </w:p>
    <w:p w14:paraId="181C7BD8" w14:textId="77777777" w:rsidR="00B8345E" w:rsidRDefault="00000000">
      <w:r>
        <w:t>5. NAPOMENA O PRIVREMENIM EVIDENCIJAMA (PRIJELAZNI RAČUNI) Radi osiguranja tehničke ispravnosti i zatvaranja bruto bilance, manji dio neraspoređenih priljeva i odljeva s prijelaznih računa (skupina 1114) privremeno je evidentiran na pozicijama ostalih potraživanja i obveza. Ovi iznosi bit će predmet detaljne analize i reklasifikacije u 2026. godini, kako bi se osigurala potpuna točnost analitičkih evidencija.</w:t>
      </w:r>
    </w:p>
    <w:p w14:paraId="181C7BD9" w14:textId="77777777" w:rsidR="00B8345E" w:rsidRDefault="00000000">
      <w:r>
        <w:t>6. ZAKLJUČNA IZJAVA O SASTAVLJANJU IZVJEŠTAJA Unatoč izazovima implementacije novog regulatornog okvira i privremenim kadrovskim ograničenjima, financijski izvještaji za 2025. godinu sastavljeni su uz primjenu načela točnosti, istinitosti i pouzdanosti. Uprava smatra da priloženi izvještaji, uz navedene napomene o potrebi daljnjih usklađenja povijesnih salda u 2026. godini, u svim materijalno značajnim odrednicama fer i objektivno prikazuju financijski položaj Općine na dan 31. prosinca 2025. te rezultat poslovanja i novčane tijekove za tada završenu godinu, u skladu sa Zakonom o proračunu i Pravilnikom o financijskom izvještavanju.</w:t>
      </w:r>
    </w:p>
    <w:p w14:paraId="181C7BDA" w14:textId="77777777" w:rsidR="00B8345E" w:rsidRDefault="00000000">
      <w:r>
        <w:lastRenderedPageBreak/>
        <w:t>Plan aktivnosti za 2026. godinu U cilju potpune harmonizacije poslovnih procesa i otklanjanja tehničkih nedostataka u evidentiranju, za 2026. godinu donesen je plan mjera koji uključuje:</w:t>
      </w:r>
      <w:r>
        <w:br/>
        <w:t xml:space="preserve">• Potpunu </w:t>
      </w:r>
      <w:proofErr w:type="spellStart"/>
      <w:r>
        <w:t>rekonfiguraciju</w:t>
      </w:r>
      <w:proofErr w:type="spellEnd"/>
      <w:r>
        <w:t xml:space="preserve"> parametara za automatsko knjiženje iz pomoćnih knjiga u Glavnu knjigu.</w:t>
      </w:r>
      <w:r>
        <w:br/>
        <w:t>• Usklađivanje svih analitičkih evidencija sa sintetičkim pozicijama na dnevnoj, tjednoj i mjesečnoj razini (umjesto godišnje).</w:t>
      </w:r>
      <w:r>
        <w:br/>
        <w:t>• Dodatnu edukaciju djelatnika za rad u novom okruženju proračunskog računovodstva.</w:t>
      </w:r>
    </w:p>
    <w:p w14:paraId="181C7BDB" w14:textId="77777777" w:rsidR="00B8345E" w:rsidRDefault="00000000">
      <w:r>
        <w:t>Novi ustroj sustava zajedno sa ovim mjerama osigurat će se da financijsko izvještavanje u 2026. godini bude u potpunosti usklađeno sa svim tehničkim i metodološkim zahtjevima.</w:t>
      </w:r>
    </w:p>
    <w:p w14:paraId="181C7BDC" w14:textId="77777777" w:rsidR="00B8345E" w:rsidRDefault="00000000">
      <w:r>
        <w:br/>
      </w:r>
    </w:p>
    <w:p w14:paraId="181C7BDD" w14:textId="77777777" w:rsidR="00B8345E"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B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BDE"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BDF"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BE0"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BE1" w14:textId="77777777" w:rsidR="00B8345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1C7BE2" w14:textId="77777777" w:rsidR="00B8345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1C7BE3" w14:textId="77777777" w:rsidR="00B8345E" w:rsidRDefault="00000000">
            <w:pPr>
              <w:keepNext/>
              <w:keepLines/>
              <w:spacing w:after="0" w:line="240" w:lineRule="auto"/>
              <w:jc w:val="center"/>
            </w:pPr>
            <w:r>
              <w:rPr>
                <w:b/>
                <w:sz w:val="18"/>
              </w:rPr>
              <w:t>Indeks (%)</w:t>
            </w:r>
          </w:p>
        </w:tc>
      </w:tr>
      <w:tr w:rsidR="00B8345E" w14:paraId="181C7BEB" w14:textId="77777777">
        <w:tblPrEx>
          <w:tblCellMar>
            <w:top w:w="0" w:type="dxa"/>
            <w:bottom w:w="0" w:type="dxa"/>
          </w:tblCellMar>
        </w:tblPrEx>
        <w:trPr>
          <w:cantSplit/>
          <w:trHeight w:val="560"/>
        </w:trPr>
        <w:tc>
          <w:tcPr>
            <w:tcW w:w="700" w:type="dxa"/>
            <w:tcMar>
              <w:top w:w="0" w:type="dxa"/>
              <w:bottom w:w="0" w:type="dxa"/>
            </w:tcMar>
            <w:vAlign w:val="center"/>
          </w:tcPr>
          <w:p w14:paraId="181C7BE5" w14:textId="77777777" w:rsidR="00B8345E" w:rsidRDefault="00000000">
            <w:pPr>
              <w:keepNext/>
              <w:keepLines/>
              <w:spacing w:after="0" w:line="240" w:lineRule="auto"/>
            </w:pPr>
            <w:r>
              <w:rPr>
                <w:sz w:val="18"/>
              </w:rPr>
              <w:t>6</w:t>
            </w:r>
          </w:p>
        </w:tc>
        <w:tc>
          <w:tcPr>
            <w:tcW w:w="3180" w:type="dxa"/>
            <w:tcMar>
              <w:top w:w="0" w:type="dxa"/>
              <w:bottom w:w="0" w:type="dxa"/>
            </w:tcMar>
            <w:vAlign w:val="center"/>
          </w:tcPr>
          <w:p w14:paraId="181C7BE6" w14:textId="77777777" w:rsidR="00B8345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81C7BE7" w14:textId="77777777" w:rsidR="00B8345E" w:rsidRDefault="00000000">
            <w:pPr>
              <w:keepNext/>
              <w:keepLines/>
              <w:spacing w:after="0" w:line="240" w:lineRule="auto"/>
            </w:pPr>
            <w:r>
              <w:rPr>
                <w:sz w:val="18"/>
              </w:rPr>
              <w:t>6</w:t>
            </w:r>
          </w:p>
        </w:tc>
        <w:tc>
          <w:tcPr>
            <w:tcW w:w="1860" w:type="dxa"/>
            <w:tcMar>
              <w:top w:w="0" w:type="dxa"/>
              <w:bottom w:w="0" w:type="dxa"/>
            </w:tcMar>
            <w:vAlign w:val="center"/>
          </w:tcPr>
          <w:p w14:paraId="181C7BE8" w14:textId="77777777" w:rsidR="00B8345E" w:rsidRDefault="00000000">
            <w:pPr>
              <w:keepNext/>
              <w:keepLines/>
              <w:spacing w:after="0" w:line="240" w:lineRule="auto"/>
              <w:jc w:val="right"/>
            </w:pPr>
            <w:r>
              <w:rPr>
                <w:sz w:val="18"/>
              </w:rPr>
              <w:t>8.217.210,99</w:t>
            </w:r>
          </w:p>
        </w:tc>
        <w:tc>
          <w:tcPr>
            <w:tcW w:w="1860" w:type="dxa"/>
            <w:tcMar>
              <w:top w:w="0" w:type="dxa"/>
              <w:bottom w:w="0" w:type="dxa"/>
            </w:tcMar>
            <w:vAlign w:val="center"/>
          </w:tcPr>
          <w:p w14:paraId="181C7BE9" w14:textId="77777777" w:rsidR="00B8345E" w:rsidRDefault="00000000">
            <w:pPr>
              <w:keepNext/>
              <w:keepLines/>
              <w:spacing w:after="0" w:line="240" w:lineRule="auto"/>
              <w:jc w:val="right"/>
            </w:pPr>
            <w:r>
              <w:rPr>
                <w:sz w:val="18"/>
              </w:rPr>
              <w:t>8.747.609,30</w:t>
            </w:r>
          </w:p>
        </w:tc>
        <w:tc>
          <w:tcPr>
            <w:tcW w:w="700" w:type="dxa"/>
            <w:tcMar>
              <w:top w:w="0" w:type="dxa"/>
              <w:bottom w:w="0" w:type="dxa"/>
            </w:tcMar>
            <w:vAlign w:val="center"/>
          </w:tcPr>
          <w:p w14:paraId="181C7BEA" w14:textId="77777777" w:rsidR="00B8345E" w:rsidRDefault="00000000">
            <w:pPr>
              <w:keepNext/>
              <w:keepLines/>
              <w:spacing w:after="0" w:line="240" w:lineRule="auto"/>
              <w:jc w:val="right"/>
            </w:pPr>
            <w:r>
              <w:rPr>
                <w:sz w:val="18"/>
              </w:rPr>
              <w:t>106,5</w:t>
            </w:r>
          </w:p>
        </w:tc>
      </w:tr>
    </w:tbl>
    <w:p w14:paraId="181C7BEC" w14:textId="77777777" w:rsidR="00B8345E" w:rsidRDefault="00B8345E">
      <w:pPr>
        <w:spacing w:after="0"/>
      </w:pPr>
    </w:p>
    <w:p w14:paraId="181C7BED" w14:textId="77777777" w:rsidR="00B8345E" w:rsidRDefault="00000000">
      <w:r>
        <w:t>Obrazloženje porasta prihoda: Ukupni prihodi poslovanja bilježe rast uslijed:</w:t>
      </w:r>
      <w:r>
        <w:br/>
        <w:t>1. Poreza na dohodak (611): Zabilježen je rast prihoda od poreza na dohodak zbog povećanja zaposlenosti i rasta plaća na području Općine.</w:t>
      </w:r>
      <w:r>
        <w:br/>
        <w:t>2. Poreza na imovinu (613): Značajan rast prihoda od poreza na promet nekretnina te učinak naplate poreza na kuće za odmor (sada porez na nekretnine), što ukazuje na aktivnost na tržištu nekretnina.</w:t>
      </w:r>
      <w:r>
        <w:br/>
        <w:t>3. EU pomoći (63): Evidentirani su prihodi temeljem povlačenja sredstava za projekt "Zaželi - faza IV" i kapitalne projekte.</w:t>
      </w:r>
    </w:p>
    <w:p w14:paraId="181C7BEE" w14:textId="77777777" w:rsidR="00B8345E" w:rsidRDefault="00B8345E"/>
    <w:p w14:paraId="181C7BEF" w14:textId="77777777" w:rsidR="00B8345E"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B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BF0"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BF1"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BF2"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BF3" w14:textId="77777777" w:rsidR="00B8345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1C7BF4" w14:textId="77777777" w:rsidR="00B8345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1C7BF5" w14:textId="77777777" w:rsidR="00B8345E" w:rsidRDefault="00000000">
            <w:pPr>
              <w:keepNext/>
              <w:keepLines/>
              <w:spacing w:after="0" w:line="240" w:lineRule="auto"/>
              <w:jc w:val="center"/>
            </w:pPr>
            <w:r>
              <w:rPr>
                <w:b/>
                <w:sz w:val="18"/>
              </w:rPr>
              <w:t>Indeks (%)</w:t>
            </w:r>
          </w:p>
        </w:tc>
      </w:tr>
      <w:tr w:rsidR="00B8345E" w14:paraId="181C7BFD" w14:textId="77777777">
        <w:tblPrEx>
          <w:tblCellMar>
            <w:top w:w="0" w:type="dxa"/>
            <w:bottom w:w="0" w:type="dxa"/>
          </w:tblCellMar>
        </w:tblPrEx>
        <w:trPr>
          <w:cantSplit/>
          <w:trHeight w:val="560"/>
        </w:trPr>
        <w:tc>
          <w:tcPr>
            <w:tcW w:w="700" w:type="dxa"/>
            <w:tcMar>
              <w:top w:w="0" w:type="dxa"/>
              <w:bottom w:w="0" w:type="dxa"/>
            </w:tcMar>
            <w:vAlign w:val="center"/>
          </w:tcPr>
          <w:p w14:paraId="181C7BF7" w14:textId="77777777" w:rsidR="00B8345E" w:rsidRDefault="00000000">
            <w:pPr>
              <w:keepNext/>
              <w:keepLines/>
              <w:spacing w:after="0" w:line="240" w:lineRule="auto"/>
            </w:pPr>
            <w:r>
              <w:rPr>
                <w:sz w:val="18"/>
              </w:rPr>
              <w:t>31</w:t>
            </w:r>
          </w:p>
        </w:tc>
        <w:tc>
          <w:tcPr>
            <w:tcW w:w="3180" w:type="dxa"/>
            <w:tcMar>
              <w:top w:w="0" w:type="dxa"/>
              <w:bottom w:w="0" w:type="dxa"/>
            </w:tcMar>
            <w:vAlign w:val="center"/>
          </w:tcPr>
          <w:p w14:paraId="181C7BF8" w14:textId="77777777" w:rsidR="00B8345E"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181C7BF9" w14:textId="77777777" w:rsidR="00B8345E" w:rsidRDefault="00000000">
            <w:pPr>
              <w:keepNext/>
              <w:keepLines/>
              <w:spacing w:after="0" w:line="240" w:lineRule="auto"/>
            </w:pPr>
            <w:r>
              <w:rPr>
                <w:sz w:val="18"/>
              </w:rPr>
              <w:t>31</w:t>
            </w:r>
          </w:p>
        </w:tc>
        <w:tc>
          <w:tcPr>
            <w:tcW w:w="1860" w:type="dxa"/>
            <w:tcMar>
              <w:top w:w="0" w:type="dxa"/>
              <w:bottom w:w="0" w:type="dxa"/>
            </w:tcMar>
            <w:vAlign w:val="center"/>
          </w:tcPr>
          <w:p w14:paraId="181C7BFA" w14:textId="77777777" w:rsidR="00B8345E" w:rsidRDefault="00000000">
            <w:pPr>
              <w:keepNext/>
              <w:keepLines/>
              <w:spacing w:after="0" w:line="240" w:lineRule="auto"/>
              <w:jc w:val="right"/>
            </w:pPr>
            <w:r>
              <w:rPr>
                <w:sz w:val="18"/>
              </w:rPr>
              <w:t>804.227,63</w:t>
            </w:r>
          </w:p>
        </w:tc>
        <w:tc>
          <w:tcPr>
            <w:tcW w:w="1860" w:type="dxa"/>
            <w:tcMar>
              <w:top w:w="0" w:type="dxa"/>
              <w:bottom w:w="0" w:type="dxa"/>
            </w:tcMar>
            <w:vAlign w:val="center"/>
          </w:tcPr>
          <w:p w14:paraId="181C7BFB" w14:textId="77777777" w:rsidR="00B8345E" w:rsidRDefault="00000000">
            <w:pPr>
              <w:keepNext/>
              <w:keepLines/>
              <w:spacing w:after="0" w:line="240" w:lineRule="auto"/>
              <w:jc w:val="right"/>
            </w:pPr>
            <w:r>
              <w:rPr>
                <w:sz w:val="18"/>
              </w:rPr>
              <w:t>1.367.195,97</w:t>
            </w:r>
          </w:p>
        </w:tc>
        <w:tc>
          <w:tcPr>
            <w:tcW w:w="700" w:type="dxa"/>
            <w:tcMar>
              <w:top w:w="0" w:type="dxa"/>
              <w:bottom w:w="0" w:type="dxa"/>
            </w:tcMar>
            <w:vAlign w:val="center"/>
          </w:tcPr>
          <w:p w14:paraId="181C7BFC" w14:textId="77777777" w:rsidR="00B8345E" w:rsidRDefault="00000000">
            <w:pPr>
              <w:keepNext/>
              <w:keepLines/>
              <w:spacing w:after="0" w:line="240" w:lineRule="auto"/>
              <w:jc w:val="right"/>
            </w:pPr>
            <w:r>
              <w:rPr>
                <w:sz w:val="18"/>
              </w:rPr>
              <w:t>170,0</w:t>
            </w:r>
          </w:p>
        </w:tc>
      </w:tr>
    </w:tbl>
    <w:p w14:paraId="181C7BFE" w14:textId="77777777" w:rsidR="00B8345E" w:rsidRDefault="00B8345E">
      <w:pPr>
        <w:spacing w:after="0"/>
      </w:pPr>
    </w:p>
    <w:p w14:paraId="181C7BFF" w14:textId="77777777" w:rsidR="00B8345E" w:rsidRDefault="00000000">
      <w:r>
        <w:t>Razlozi povećanja mase plaća: Do povećanja rashoda za zaposlene došlo je primarno zbog:</w:t>
      </w:r>
      <w:r>
        <w:br/>
        <w:t xml:space="preserve">1. Projekt "Zaželi - faza IV": Zaposlen je veći broj teže </w:t>
      </w:r>
      <w:proofErr w:type="spellStart"/>
      <w:r>
        <w:t>zapošljivih</w:t>
      </w:r>
      <w:proofErr w:type="spellEnd"/>
      <w:r>
        <w:t xml:space="preserve"> žena za pružanje potpore starijim osobama. Plaće ovih zaposlenika u cijelosti se financiraju iz EU sredstava (Izvor 561) i ne terete opće prihode Općine.</w:t>
      </w:r>
      <w:r>
        <w:br/>
        <w:t>2. Dječji vrtić: Uključeni su rashodi za zaposlene u Dječjem vrtiću "</w:t>
      </w:r>
      <w:proofErr w:type="spellStart"/>
      <w:r>
        <w:t>Cvitić</w:t>
      </w:r>
      <w:proofErr w:type="spellEnd"/>
      <w:r>
        <w:t>".</w:t>
      </w:r>
      <w:r>
        <w:br/>
        <w:t>3. Osnovica: Primjena nove, uvećane osnovice za obračun plaća sukladno zakonskim propisima (povećanje s 440 na 620 EUR).</w:t>
      </w:r>
    </w:p>
    <w:p w14:paraId="181C7C00" w14:textId="77777777" w:rsidR="00B8345E" w:rsidRDefault="00B8345E"/>
    <w:p w14:paraId="181C7C01" w14:textId="77777777" w:rsidR="00B8345E"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C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C02"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C03"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C04"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C05" w14:textId="77777777" w:rsidR="00B8345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1C7C06" w14:textId="77777777" w:rsidR="00B8345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1C7C07" w14:textId="77777777" w:rsidR="00B8345E" w:rsidRDefault="00000000">
            <w:pPr>
              <w:keepNext/>
              <w:keepLines/>
              <w:spacing w:after="0" w:line="240" w:lineRule="auto"/>
              <w:jc w:val="center"/>
            </w:pPr>
            <w:r>
              <w:rPr>
                <w:b/>
                <w:sz w:val="18"/>
              </w:rPr>
              <w:t>Indeks (%)</w:t>
            </w:r>
          </w:p>
        </w:tc>
      </w:tr>
      <w:tr w:rsidR="00B8345E" w14:paraId="181C7C0F" w14:textId="77777777">
        <w:tblPrEx>
          <w:tblCellMar>
            <w:top w:w="0" w:type="dxa"/>
            <w:bottom w:w="0" w:type="dxa"/>
          </w:tblCellMar>
        </w:tblPrEx>
        <w:trPr>
          <w:cantSplit/>
          <w:trHeight w:val="560"/>
        </w:trPr>
        <w:tc>
          <w:tcPr>
            <w:tcW w:w="700" w:type="dxa"/>
            <w:tcMar>
              <w:top w:w="0" w:type="dxa"/>
              <w:bottom w:w="0" w:type="dxa"/>
            </w:tcMar>
            <w:vAlign w:val="center"/>
          </w:tcPr>
          <w:p w14:paraId="181C7C09" w14:textId="77777777" w:rsidR="00B8345E" w:rsidRDefault="00000000">
            <w:pPr>
              <w:keepNext/>
              <w:keepLines/>
              <w:spacing w:after="0" w:line="240" w:lineRule="auto"/>
            </w:pPr>
            <w:r>
              <w:rPr>
                <w:sz w:val="18"/>
              </w:rPr>
              <w:t>4</w:t>
            </w:r>
          </w:p>
        </w:tc>
        <w:tc>
          <w:tcPr>
            <w:tcW w:w="3180" w:type="dxa"/>
            <w:tcMar>
              <w:top w:w="0" w:type="dxa"/>
              <w:bottom w:w="0" w:type="dxa"/>
            </w:tcMar>
            <w:vAlign w:val="center"/>
          </w:tcPr>
          <w:p w14:paraId="181C7C0A" w14:textId="77777777" w:rsidR="00B8345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81C7C0B" w14:textId="77777777" w:rsidR="00B8345E" w:rsidRDefault="00000000">
            <w:pPr>
              <w:keepNext/>
              <w:keepLines/>
              <w:spacing w:after="0" w:line="240" w:lineRule="auto"/>
            </w:pPr>
            <w:r>
              <w:rPr>
                <w:sz w:val="18"/>
              </w:rPr>
              <w:t>4</w:t>
            </w:r>
          </w:p>
        </w:tc>
        <w:tc>
          <w:tcPr>
            <w:tcW w:w="1860" w:type="dxa"/>
            <w:tcMar>
              <w:top w:w="0" w:type="dxa"/>
              <w:bottom w:w="0" w:type="dxa"/>
            </w:tcMar>
            <w:vAlign w:val="center"/>
          </w:tcPr>
          <w:p w14:paraId="181C7C0C" w14:textId="77777777" w:rsidR="00B8345E" w:rsidRDefault="00000000">
            <w:pPr>
              <w:keepNext/>
              <w:keepLines/>
              <w:spacing w:after="0" w:line="240" w:lineRule="auto"/>
              <w:jc w:val="right"/>
            </w:pPr>
            <w:r>
              <w:rPr>
                <w:sz w:val="18"/>
              </w:rPr>
              <w:t>2.655.612,02</w:t>
            </w:r>
          </w:p>
        </w:tc>
        <w:tc>
          <w:tcPr>
            <w:tcW w:w="1860" w:type="dxa"/>
            <w:tcMar>
              <w:top w:w="0" w:type="dxa"/>
              <w:bottom w:w="0" w:type="dxa"/>
            </w:tcMar>
            <w:vAlign w:val="center"/>
          </w:tcPr>
          <w:p w14:paraId="181C7C0D" w14:textId="77777777" w:rsidR="00B8345E" w:rsidRDefault="00000000">
            <w:pPr>
              <w:keepNext/>
              <w:keepLines/>
              <w:spacing w:after="0" w:line="240" w:lineRule="auto"/>
              <w:jc w:val="right"/>
            </w:pPr>
            <w:r>
              <w:rPr>
                <w:sz w:val="18"/>
              </w:rPr>
              <w:t>7.465.774,90</w:t>
            </w:r>
          </w:p>
        </w:tc>
        <w:tc>
          <w:tcPr>
            <w:tcW w:w="700" w:type="dxa"/>
            <w:tcMar>
              <w:top w:w="0" w:type="dxa"/>
              <w:bottom w:w="0" w:type="dxa"/>
            </w:tcMar>
            <w:vAlign w:val="center"/>
          </w:tcPr>
          <w:p w14:paraId="181C7C0E" w14:textId="77777777" w:rsidR="00B8345E" w:rsidRDefault="00000000">
            <w:pPr>
              <w:keepNext/>
              <w:keepLines/>
              <w:spacing w:after="0" w:line="240" w:lineRule="auto"/>
              <w:jc w:val="right"/>
            </w:pPr>
            <w:r>
              <w:rPr>
                <w:sz w:val="18"/>
              </w:rPr>
              <w:t>281,1</w:t>
            </w:r>
          </w:p>
        </w:tc>
      </w:tr>
    </w:tbl>
    <w:p w14:paraId="181C7C10" w14:textId="77777777" w:rsidR="00B8345E" w:rsidRDefault="00B8345E">
      <w:pPr>
        <w:spacing w:after="0"/>
      </w:pPr>
    </w:p>
    <w:p w14:paraId="181C7C11" w14:textId="77777777" w:rsidR="00B8345E" w:rsidRDefault="00000000">
      <w:r>
        <w:t xml:space="preserve">Struktura kapitalnih ulaganja: Izrazito povećanje na ovoj skupini (14,9 </w:t>
      </w:r>
      <w:proofErr w:type="spellStart"/>
      <w:r>
        <w:t>mil</w:t>
      </w:r>
      <w:proofErr w:type="spellEnd"/>
      <w:r>
        <w:t>. € prometa) odnosi se na realizaciju strateških investicijskih projekata:</w:t>
      </w:r>
      <w:r>
        <w:br/>
        <w:t>1. Izgradnja Centra za starije i nemoćne osobe (financirano iz NPOO-a i kredita).</w:t>
      </w:r>
      <w:r>
        <w:br/>
        <w:t>2. Izgradnja i opremanje Dječjeg vrtića "</w:t>
      </w:r>
      <w:proofErr w:type="spellStart"/>
      <w:r>
        <w:t>Cvitić</w:t>
      </w:r>
      <w:proofErr w:type="spellEnd"/>
      <w:r>
        <w:t xml:space="preserve">" </w:t>
      </w:r>
      <w:proofErr w:type="spellStart"/>
      <w:r>
        <w:t>Turanj</w:t>
      </w:r>
      <w:proofErr w:type="spellEnd"/>
      <w:r>
        <w:t>.</w:t>
      </w:r>
      <w:r>
        <w:br/>
        <w:t>3. Ulaganja u komunalnu infrastrukturu: Javna rasvjeta, nerazvrstane ceste i uređenje javnih površina. Svi navedeni rashodi rezultiraju povećanjem vrijednosti dugotrajne imovine Općine.</w:t>
      </w:r>
    </w:p>
    <w:p w14:paraId="181C7C12" w14:textId="77777777" w:rsidR="00B8345E" w:rsidRDefault="00B8345E"/>
    <w:p w14:paraId="181C7C13" w14:textId="77777777" w:rsidR="00B8345E"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C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C14"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C15"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C16"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C17" w14:textId="77777777" w:rsidR="00B8345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1C7C18" w14:textId="77777777" w:rsidR="00B8345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1C7C19" w14:textId="77777777" w:rsidR="00B8345E" w:rsidRDefault="00000000">
            <w:pPr>
              <w:keepNext/>
              <w:keepLines/>
              <w:spacing w:after="0" w:line="240" w:lineRule="auto"/>
              <w:jc w:val="center"/>
            </w:pPr>
            <w:r>
              <w:rPr>
                <w:b/>
                <w:sz w:val="18"/>
              </w:rPr>
              <w:t>Indeks (%)</w:t>
            </w:r>
          </w:p>
        </w:tc>
      </w:tr>
      <w:tr w:rsidR="00B8345E" w14:paraId="181C7C21" w14:textId="77777777">
        <w:tblPrEx>
          <w:tblCellMar>
            <w:top w:w="0" w:type="dxa"/>
            <w:bottom w:w="0" w:type="dxa"/>
          </w:tblCellMar>
        </w:tblPrEx>
        <w:trPr>
          <w:cantSplit/>
          <w:trHeight w:val="560"/>
        </w:trPr>
        <w:tc>
          <w:tcPr>
            <w:tcW w:w="700" w:type="dxa"/>
            <w:tcMar>
              <w:top w:w="0" w:type="dxa"/>
              <w:bottom w:w="0" w:type="dxa"/>
            </w:tcMar>
            <w:vAlign w:val="center"/>
          </w:tcPr>
          <w:p w14:paraId="181C7C1B" w14:textId="77777777" w:rsidR="00B8345E" w:rsidRDefault="00B8345E">
            <w:pPr>
              <w:keepNext/>
              <w:keepLines/>
              <w:spacing w:after="0" w:line="240" w:lineRule="auto"/>
            </w:pPr>
          </w:p>
        </w:tc>
        <w:tc>
          <w:tcPr>
            <w:tcW w:w="3180" w:type="dxa"/>
            <w:tcMar>
              <w:top w:w="0" w:type="dxa"/>
              <w:bottom w:w="0" w:type="dxa"/>
            </w:tcMar>
            <w:vAlign w:val="center"/>
          </w:tcPr>
          <w:p w14:paraId="181C7C1C" w14:textId="77777777" w:rsidR="00B8345E"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181C7C1D" w14:textId="77777777" w:rsidR="00B8345E" w:rsidRDefault="00000000">
            <w:pPr>
              <w:keepNext/>
              <w:keepLines/>
              <w:spacing w:after="0" w:line="240" w:lineRule="auto"/>
            </w:pPr>
            <w:r>
              <w:rPr>
                <w:sz w:val="18"/>
              </w:rPr>
              <w:t>Y005</w:t>
            </w:r>
          </w:p>
        </w:tc>
        <w:tc>
          <w:tcPr>
            <w:tcW w:w="1860" w:type="dxa"/>
            <w:tcMar>
              <w:top w:w="0" w:type="dxa"/>
              <w:bottom w:w="0" w:type="dxa"/>
            </w:tcMar>
            <w:vAlign w:val="center"/>
          </w:tcPr>
          <w:p w14:paraId="181C7C1E" w14:textId="77777777" w:rsidR="00B8345E" w:rsidRDefault="00000000">
            <w:pPr>
              <w:keepNext/>
              <w:keepLines/>
              <w:spacing w:after="0" w:line="240" w:lineRule="auto"/>
              <w:jc w:val="right"/>
            </w:pPr>
            <w:r>
              <w:rPr>
                <w:sz w:val="18"/>
              </w:rPr>
              <w:t>0,00</w:t>
            </w:r>
          </w:p>
        </w:tc>
        <w:tc>
          <w:tcPr>
            <w:tcW w:w="1860" w:type="dxa"/>
            <w:tcMar>
              <w:top w:w="0" w:type="dxa"/>
              <w:bottom w:w="0" w:type="dxa"/>
            </w:tcMar>
            <w:vAlign w:val="center"/>
          </w:tcPr>
          <w:p w14:paraId="181C7C1F" w14:textId="77777777" w:rsidR="00B8345E" w:rsidRDefault="00000000">
            <w:pPr>
              <w:keepNext/>
              <w:keepLines/>
              <w:spacing w:after="0" w:line="240" w:lineRule="auto"/>
              <w:jc w:val="right"/>
            </w:pPr>
            <w:r>
              <w:rPr>
                <w:sz w:val="18"/>
              </w:rPr>
              <w:t>1.757.859,40</w:t>
            </w:r>
          </w:p>
        </w:tc>
        <w:tc>
          <w:tcPr>
            <w:tcW w:w="700" w:type="dxa"/>
            <w:tcMar>
              <w:top w:w="0" w:type="dxa"/>
              <w:bottom w:w="0" w:type="dxa"/>
            </w:tcMar>
            <w:vAlign w:val="center"/>
          </w:tcPr>
          <w:p w14:paraId="181C7C20" w14:textId="77777777" w:rsidR="00B8345E" w:rsidRDefault="00000000">
            <w:pPr>
              <w:keepNext/>
              <w:keepLines/>
              <w:spacing w:after="0" w:line="240" w:lineRule="auto"/>
              <w:jc w:val="right"/>
            </w:pPr>
            <w:r>
              <w:rPr>
                <w:sz w:val="18"/>
              </w:rPr>
              <w:t>-</w:t>
            </w:r>
          </w:p>
        </w:tc>
      </w:tr>
    </w:tbl>
    <w:p w14:paraId="181C7C22" w14:textId="77777777" w:rsidR="00B8345E" w:rsidRDefault="00B8345E">
      <w:pPr>
        <w:spacing w:after="0"/>
      </w:pPr>
    </w:p>
    <w:p w14:paraId="181C7C23" w14:textId="77777777" w:rsidR="00B8345E" w:rsidRDefault="00000000">
      <w:r>
        <w:t>Obrazloženje manjka prihoda i primitaka (Y005): U tekućoj godini iskazan je manjak prihoda i primitaka u iznosu od 1.757.859,40 €. Ovaj rezultat nije posljedica redovnog poslovanja, već je strukturne prirode i nastao je zbog:</w:t>
      </w:r>
      <w:r>
        <w:br/>
        <w:t xml:space="preserve">1. Kapitalnih ulaganja (Razred 4): Evidentirani su visoki rashodi za izgradnju "Centra za starije i nemoćne osobe" i "Dječjeg vrtića </w:t>
      </w:r>
      <w:proofErr w:type="spellStart"/>
      <w:r>
        <w:t>Cvitić</w:t>
      </w:r>
      <w:proofErr w:type="spellEnd"/>
      <w:r>
        <w:t>" (EU projekti). Rashodi se priznaju u trenutku nastanka (ispostavljene situacije), dok se dio prihoda od pomoći priznaje dinamikom ovjere ZNS-ova, što stvara vremenski raskorak.</w:t>
      </w:r>
      <w:r>
        <w:br/>
        <w:t>2. Izdaci za financijsku imovinu (Razred 5): Na rezultat je negativno utjecao izdatak za dani zajam trgovačkom društvu u vlasništvu Općine (</w:t>
      </w:r>
      <w:proofErr w:type="spellStart"/>
      <w:r>
        <w:t>Rogovo</w:t>
      </w:r>
      <w:proofErr w:type="spellEnd"/>
      <w:r>
        <w:t xml:space="preserve"> d.o.o.) u iznosu od 270.000 €, što računovodstveno stvara manjak, ali predstavlja ulaganje u potraživanje, a ne potrošnju. Manjak je pokriven prenesenim viškovima iz prethodnih razdoblja i očekivanim priljevima od EU pomoći u narednom razdoblju.</w:t>
      </w:r>
    </w:p>
    <w:p w14:paraId="181C7C24" w14:textId="77777777" w:rsidR="00B8345E" w:rsidRDefault="00B8345E"/>
    <w:p w14:paraId="181C7C25" w14:textId="77777777" w:rsidR="00B8345E" w:rsidRDefault="00000000">
      <w:pPr>
        <w:keepNext/>
        <w:spacing w:line="240" w:lineRule="auto"/>
        <w:jc w:val="center"/>
      </w:pPr>
      <w:r>
        <w:rPr>
          <w:b/>
          <w:sz w:val="28"/>
        </w:rPr>
        <w:t>Bilanca</w:t>
      </w:r>
    </w:p>
    <w:p w14:paraId="181C7C26" w14:textId="77777777" w:rsidR="00B8345E"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C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C27"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C28"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C29"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C2A" w14:textId="77777777" w:rsidR="00B8345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1C7C2B" w14:textId="77777777" w:rsidR="00B8345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1C7C2C" w14:textId="77777777" w:rsidR="00B8345E" w:rsidRDefault="00000000">
            <w:pPr>
              <w:keepNext/>
              <w:keepLines/>
              <w:spacing w:after="0" w:line="240" w:lineRule="auto"/>
              <w:jc w:val="center"/>
            </w:pPr>
            <w:r>
              <w:rPr>
                <w:b/>
                <w:sz w:val="18"/>
              </w:rPr>
              <w:t>Indeks (%)</w:t>
            </w:r>
          </w:p>
        </w:tc>
      </w:tr>
      <w:tr w:rsidR="00B8345E" w14:paraId="181C7C34" w14:textId="77777777">
        <w:tblPrEx>
          <w:tblCellMar>
            <w:top w:w="0" w:type="dxa"/>
            <w:bottom w:w="0" w:type="dxa"/>
          </w:tblCellMar>
        </w:tblPrEx>
        <w:trPr>
          <w:cantSplit/>
          <w:trHeight w:val="560"/>
        </w:trPr>
        <w:tc>
          <w:tcPr>
            <w:tcW w:w="700" w:type="dxa"/>
            <w:tcMar>
              <w:top w:w="0" w:type="dxa"/>
              <w:bottom w:w="0" w:type="dxa"/>
            </w:tcMar>
            <w:vAlign w:val="center"/>
          </w:tcPr>
          <w:p w14:paraId="181C7C2E" w14:textId="77777777" w:rsidR="00B8345E" w:rsidRDefault="00000000">
            <w:pPr>
              <w:keepNext/>
              <w:keepLines/>
              <w:spacing w:after="0" w:line="240" w:lineRule="auto"/>
            </w:pPr>
            <w:r>
              <w:rPr>
                <w:sz w:val="18"/>
              </w:rPr>
              <w:t>051</w:t>
            </w:r>
          </w:p>
        </w:tc>
        <w:tc>
          <w:tcPr>
            <w:tcW w:w="3180" w:type="dxa"/>
            <w:tcMar>
              <w:top w:w="0" w:type="dxa"/>
              <w:bottom w:w="0" w:type="dxa"/>
            </w:tcMar>
            <w:vAlign w:val="center"/>
          </w:tcPr>
          <w:p w14:paraId="181C7C2F" w14:textId="77777777" w:rsidR="00B8345E"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181C7C30" w14:textId="77777777" w:rsidR="00B8345E" w:rsidRDefault="00000000">
            <w:pPr>
              <w:keepNext/>
              <w:keepLines/>
              <w:spacing w:after="0" w:line="240" w:lineRule="auto"/>
            </w:pPr>
            <w:r>
              <w:rPr>
                <w:sz w:val="18"/>
              </w:rPr>
              <w:t>051</w:t>
            </w:r>
          </w:p>
        </w:tc>
        <w:tc>
          <w:tcPr>
            <w:tcW w:w="1860" w:type="dxa"/>
            <w:tcMar>
              <w:top w:w="0" w:type="dxa"/>
              <w:bottom w:w="0" w:type="dxa"/>
            </w:tcMar>
            <w:vAlign w:val="center"/>
          </w:tcPr>
          <w:p w14:paraId="181C7C31" w14:textId="77777777" w:rsidR="00B8345E" w:rsidRDefault="00000000">
            <w:pPr>
              <w:keepNext/>
              <w:keepLines/>
              <w:spacing w:after="0" w:line="240" w:lineRule="auto"/>
              <w:jc w:val="right"/>
            </w:pPr>
            <w:r>
              <w:rPr>
                <w:sz w:val="18"/>
              </w:rPr>
              <w:t>1.051.686,06</w:t>
            </w:r>
          </w:p>
        </w:tc>
        <w:tc>
          <w:tcPr>
            <w:tcW w:w="1860" w:type="dxa"/>
            <w:tcMar>
              <w:top w:w="0" w:type="dxa"/>
              <w:bottom w:w="0" w:type="dxa"/>
            </w:tcMar>
            <w:vAlign w:val="center"/>
          </w:tcPr>
          <w:p w14:paraId="181C7C32" w14:textId="77777777" w:rsidR="00B8345E" w:rsidRDefault="00000000">
            <w:pPr>
              <w:keepNext/>
              <w:keepLines/>
              <w:spacing w:after="0" w:line="240" w:lineRule="auto"/>
              <w:jc w:val="right"/>
            </w:pPr>
            <w:r>
              <w:rPr>
                <w:sz w:val="18"/>
              </w:rPr>
              <w:t>5.785.075,87</w:t>
            </w:r>
          </w:p>
        </w:tc>
        <w:tc>
          <w:tcPr>
            <w:tcW w:w="700" w:type="dxa"/>
            <w:tcMar>
              <w:top w:w="0" w:type="dxa"/>
              <w:bottom w:w="0" w:type="dxa"/>
            </w:tcMar>
            <w:vAlign w:val="center"/>
          </w:tcPr>
          <w:p w14:paraId="181C7C33" w14:textId="77777777" w:rsidR="00B8345E" w:rsidRDefault="00000000">
            <w:pPr>
              <w:keepNext/>
              <w:keepLines/>
              <w:spacing w:after="0" w:line="240" w:lineRule="auto"/>
              <w:jc w:val="right"/>
            </w:pPr>
            <w:r>
              <w:rPr>
                <w:sz w:val="18"/>
              </w:rPr>
              <w:t>550,1</w:t>
            </w:r>
          </w:p>
        </w:tc>
      </w:tr>
    </w:tbl>
    <w:p w14:paraId="181C7C35" w14:textId="77777777" w:rsidR="00B8345E" w:rsidRDefault="00B8345E">
      <w:pPr>
        <w:spacing w:after="0"/>
      </w:pPr>
    </w:p>
    <w:p w14:paraId="181C7C36" w14:textId="77777777" w:rsidR="00B8345E" w:rsidRDefault="00000000">
      <w:r>
        <w:lastRenderedPageBreak/>
        <w:t>BILJEŠKA UZ RAČUN 051 - GRAĐEVINSKI OBJEKTI U PRIPREMI</w:t>
      </w:r>
      <w:r>
        <w:br/>
        <w:t>1. STANJE I STRUKTURA Na dan 31.12.2025. godine saldo na računu 051 (Građevinski objekti u pripremi) iznosi 5.785.075,87 €. U odnosu na početno stanje (1.051.686,06 €), vidljivo je značajno povećanje vrijednosti imovine u pripremi uslijed intenziviranja radova na ključnim kapitalnim projektima Općine.</w:t>
      </w:r>
      <w:r>
        <w:br/>
        <w:t>2. POJEDINAČNA SPECIFIKACIJA ZNAČAJNIH PROJEKATA Najveći dio salda odnosi se na dva strateška projekta sufinancirana iz Nacionalnog plana oporavka i otpornosti (NPOO):</w:t>
      </w:r>
      <w:r>
        <w:br/>
        <w:t>• Centar za starije i nemoćne osobe (Konto 0511223):</w:t>
      </w:r>
      <w:r>
        <w:br/>
        <w:t>    ◦ Stanje: 5.501.713,86 €</w:t>
      </w:r>
      <w:r>
        <w:br/>
        <w:t xml:space="preserve">    ◦ Opis: Iznos predstavlja kumulativnu vrijednost svih izvedenih građevinskih radova i usluga nadzora do 31.12.2025. (glavni izvođač </w:t>
      </w:r>
      <w:proofErr w:type="spellStart"/>
      <w:r>
        <w:t>Constructa</w:t>
      </w:r>
      <w:proofErr w:type="spellEnd"/>
      <w:r>
        <w:t xml:space="preserve"> Terra d.o.o.). Projekt se financira kombinacijom bespovratnih EU sredstava (NPOO.C4.3.R3-I4.01.0001) i dugoročnog kredita (HBOR). Objekt je u visokoj fazi dovršenosti, ali još nije aktiviran u uporabu, stoga se vodi na imovini u pripremi.</w:t>
      </w:r>
      <w:r>
        <w:br/>
        <w:t xml:space="preserve">• Dječji vrtić </w:t>
      </w:r>
      <w:proofErr w:type="spellStart"/>
      <w:r>
        <w:t>Cvitić</w:t>
      </w:r>
      <w:proofErr w:type="spellEnd"/>
      <w:r>
        <w:t xml:space="preserve"> </w:t>
      </w:r>
      <w:proofErr w:type="spellStart"/>
      <w:r>
        <w:t>Turanj</w:t>
      </w:r>
      <w:proofErr w:type="spellEnd"/>
      <w:r>
        <w:t xml:space="preserve"> (Konto 051123):</w:t>
      </w:r>
      <w:r>
        <w:br/>
        <w:t>    ◦ Stanje: 283.362,01 €</w:t>
      </w:r>
      <w:r>
        <w:br/>
        <w:t>    ◦ Opis: Vrijednost radova na izgradnji/rekonstrukciji vrtića (NPOO.C3.1.R1-I1.01.0012). Projekt je u tijeku, a financira se iz EU pomoći i vlastitih/kreditnih sredstava.</w:t>
      </w:r>
      <w:r>
        <w:br/>
        <w:t xml:space="preserve">3. IZVORI FINANCIRANJA Povećanje na ovoj skupini računa ima izravan utjecaj na financijski rezultat (manjak), s obzirom na to da su rashodi za ove investicije (razred 4) nastali u 2025. godini, dok se zatvaranje financijske konstrukcije (prihodi od pomoći i primici od zaduživanja) odvija drugom dinamikom. Imovina će biti </w:t>
      </w:r>
      <w:proofErr w:type="spellStart"/>
      <w:r>
        <w:t>preknjižena</w:t>
      </w:r>
      <w:proofErr w:type="spellEnd"/>
      <w:r>
        <w:t xml:space="preserve"> na osnovna sredstva u uporabi (razred 0) po ishođenju uporabne dozvole i primopredaji radova.</w:t>
      </w:r>
    </w:p>
    <w:p w14:paraId="181C7C37" w14:textId="77777777" w:rsidR="00B8345E" w:rsidRDefault="00B8345E"/>
    <w:p w14:paraId="181C7C38" w14:textId="77777777" w:rsidR="00B8345E"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C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C39"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C3A"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C3B"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C3C" w14:textId="77777777" w:rsidR="00B8345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1C7C3D" w14:textId="77777777" w:rsidR="00B8345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1C7C3E" w14:textId="77777777" w:rsidR="00B8345E" w:rsidRDefault="00000000">
            <w:pPr>
              <w:keepNext/>
              <w:keepLines/>
              <w:spacing w:after="0" w:line="240" w:lineRule="auto"/>
              <w:jc w:val="center"/>
            </w:pPr>
            <w:r>
              <w:rPr>
                <w:b/>
                <w:sz w:val="18"/>
              </w:rPr>
              <w:t>Indeks (%)</w:t>
            </w:r>
          </w:p>
        </w:tc>
      </w:tr>
      <w:tr w:rsidR="00B8345E" w14:paraId="181C7C46" w14:textId="77777777">
        <w:tblPrEx>
          <w:tblCellMar>
            <w:top w:w="0" w:type="dxa"/>
            <w:bottom w:w="0" w:type="dxa"/>
          </w:tblCellMar>
        </w:tblPrEx>
        <w:trPr>
          <w:cantSplit/>
          <w:trHeight w:val="560"/>
        </w:trPr>
        <w:tc>
          <w:tcPr>
            <w:tcW w:w="700" w:type="dxa"/>
            <w:tcMar>
              <w:top w:w="0" w:type="dxa"/>
              <w:bottom w:w="0" w:type="dxa"/>
            </w:tcMar>
            <w:vAlign w:val="center"/>
          </w:tcPr>
          <w:p w14:paraId="181C7C40" w14:textId="77777777" w:rsidR="00B8345E" w:rsidRDefault="00000000">
            <w:pPr>
              <w:keepNext/>
              <w:keepLines/>
              <w:spacing w:after="0" w:line="240" w:lineRule="auto"/>
            </w:pPr>
            <w:r>
              <w:rPr>
                <w:sz w:val="18"/>
              </w:rPr>
              <w:t>1638</w:t>
            </w:r>
          </w:p>
        </w:tc>
        <w:tc>
          <w:tcPr>
            <w:tcW w:w="3180" w:type="dxa"/>
            <w:tcMar>
              <w:top w:w="0" w:type="dxa"/>
              <w:bottom w:w="0" w:type="dxa"/>
            </w:tcMar>
            <w:vAlign w:val="center"/>
          </w:tcPr>
          <w:p w14:paraId="181C7C41" w14:textId="77777777" w:rsidR="00B8345E" w:rsidRDefault="0000000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181C7C42" w14:textId="77777777" w:rsidR="00B8345E" w:rsidRDefault="00000000">
            <w:pPr>
              <w:keepNext/>
              <w:keepLines/>
              <w:spacing w:after="0" w:line="240" w:lineRule="auto"/>
            </w:pPr>
            <w:r>
              <w:rPr>
                <w:sz w:val="18"/>
              </w:rPr>
              <w:t>1638</w:t>
            </w:r>
          </w:p>
        </w:tc>
        <w:tc>
          <w:tcPr>
            <w:tcW w:w="1860" w:type="dxa"/>
            <w:tcMar>
              <w:top w:w="0" w:type="dxa"/>
              <w:bottom w:w="0" w:type="dxa"/>
            </w:tcMar>
            <w:vAlign w:val="center"/>
          </w:tcPr>
          <w:p w14:paraId="181C7C43" w14:textId="77777777" w:rsidR="00B8345E" w:rsidRDefault="00000000">
            <w:pPr>
              <w:keepNext/>
              <w:keepLines/>
              <w:spacing w:after="0" w:line="240" w:lineRule="auto"/>
              <w:jc w:val="right"/>
            </w:pPr>
            <w:r>
              <w:rPr>
                <w:sz w:val="18"/>
              </w:rPr>
              <w:t>4.784.448,63</w:t>
            </w:r>
          </w:p>
        </w:tc>
        <w:tc>
          <w:tcPr>
            <w:tcW w:w="1860" w:type="dxa"/>
            <w:tcMar>
              <w:top w:w="0" w:type="dxa"/>
              <w:bottom w:w="0" w:type="dxa"/>
            </w:tcMar>
            <w:vAlign w:val="center"/>
          </w:tcPr>
          <w:p w14:paraId="181C7C44" w14:textId="77777777" w:rsidR="00B8345E" w:rsidRDefault="00000000">
            <w:pPr>
              <w:keepNext/>
              <w:keepLines/>
              <w:spacing w:after="0" w:line="240" w:lineRule="auto"/>
              <w:jc w:val="right"/>
            </w:pPr>
            <w:r>
              <w:rPr>
                <w:sz w:val="18"/>
              </w:rPr>
              <w:t>1.054.602,28</w:t>
            </w:r>
          </w:p>
        </w:tc>
        <w:tc>
          <w:tcPr>
            <w:tcW w:w="700" w:type="dxa"/>
            <w:tcMar>
              <w:top w:w="0" w:type="dxa"/>
              <w:bottom w:w="0" w:type="dxa"/>
            </w:tcMar>
            <w:vAlign w:val="center"/>
          </w:tcPr>
          <w:p w14:paraId="181C7C45" w14:textId="77777777" w:rsidR="00B8345E" w:rsidRDefault="00000000">
            <w:pPr>
              <w:keepNext/>
              <w:keepLines/>
              <w:spacing w:after="0" w:line="240" w:lineRule="auto"/>
              <w:jc w:val="right"/>
            </w:pPr>
            <w:r>
              <w:rPr>
                <w:sz w:val="18"/>
              </w:rPr>
              <w:t>22,0</w:t>
            </w:r>
          </w:p>
        </w:tc>
      </w:tr>
    </w:tbl>
    <w:p w14:paraId="181C7C47" w14:textId="77777777" w:rsidR="00B8345E" w:rsidRDefault="00B8345E">
      <w:pPr>
        <w:spacing w:after="0"/>
      </w:pPr>
    </w:p>
    <w:p w14:paraId="181C7C48" w14:textId="77777777" w:rsidR="00B8345E" w:rsidRDefault="00000000">
      <w:r>
        <w:t>BILJEŠKA: VREDNOVANJE I USKLAĐENJE EU POTRAŽIVANJA NA DAN 31.12.2025.</w:t>
      </w:r>
      <w:r>
        <w:br/>
        <w:t>1. EVIDENCIJA PODNESENIH ZAHTJEVA (ZNS) Na dan 31.12.2025. Općina je provela evidentiranje potraživanja za pomoći (skupina 1638) i obračunatih prihoda (skupina 9638) temeljem svih podnesenih Zahtjeva za nadoknadu sredstava (ZNS) koji su bili u proceduri odobravanja, sukladno načelu nastanka događaja.</w:t>
      </w:r>
      <w:r>
        <w:br/>
        <w:t xml:space="preserve">2. ISPRAVAK VRIJEDNOSTI POTRAŽIVANJA (NAČELO OPREZNOSTI) Sukladno Uputi o računovodstvenom evidentiranju sredstava EU (točka 2.7. Ispravak vrijednosti), na dan 31.12.2025. provedena je procjena naplativosti evidentiranih potraživanja. Za iznose za koje postoji neizvjesnost naplate ili su utvrđeni kao neprihvatljivi troškovi u preliminarnim kontrolama posredničkih tijela, proveden je ispravak vrijednosti potraživanja na teret </w:t>
      </w:r>
      <w:r>
        <w:lastRenderedPageBreak/>
        <w:t>obračunatih prihoda.</w:t>
      </w:r>
      <w:r>
        <w:br/>
        <w:t>Evidentirano je na kontu 16913 (Ispravak vrijednosti potraživanja za pomoći iz EU):</w:t>
      </w:r>
      <w:r>
        <w:br/>
        <w:t>• Centar za starije i nemoćne osobe: Proveden je ispravak u iznosu od 929.052,73 € radi usklađenja s procijenjenim iznosom neprihvatljivih/izuzetih troškova.</w:t>
      </w:r>
      <w:r>
        <w:br/>
        <w:t xml:space="preserve">• Dječji vrtić </w:t>
      </w:r>
      <w:proofErr w:type="spellStart"/>
      <w:r>
        <w:t>Cvitić</w:t>
      </w:r>
      <w:proofErr w:type="spellEnd"/>
      <w:r>
        <w:t>: Proveden je ispravak u iznosu od 34.932,48 €.</w:t>
      </w:r>
      <w:r>
        <w:br/>
        <w:t>• Ostali projekti (Raštane, Zelena obnova): Provedeni su manji ispravci radi svođenja potraživanja na realnu naplativu vrijednost.</w:t>
      </w:r>
      <w:r>
        <w:br/>
        <w:t>3. UTJECAJ NA REZULTAT Ovim postupkom Općina je na dan 31.12.2025. iskazala neto potraživanja koja odražavaju fer i realnu vrijednost očekivanih priljeva u 2026. godini, eliminirajući rizik precjenjivanja prihoda i rezultata tekuće godine. Smanjenje obračunatih prihoda kroz ispravak vrijednosti (konto 16913) direktno je utjecalo na realniji prikaz Manjka prihoda i primitaka.</w:t>
      </w:r>
    </w:p>
    <w:p w14:paraId="181C7C49" w14:textId="77777777" w:rsidR="00B8345E" w:rsidRDefault="00B8345E"/>
    <w:p w14:paraId="181C7C4A" w14:textId="77777777" w:rsidR="00B8345E"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C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C4B"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C4C"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C4D"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C4E" w14:textId="77777777" w:rsidR="00B8345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1C7C4F" w14:textId="77777777" w:rsidR="00B8345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1C7C50" w14:textId="77777777" w:rsidR="00B8345E" w:rsidRDefault="00000000">
            <w:pPr>
              <w:keepNext/>
              <w:keepLines/>
              <w:spacing w:after="0" w:line="240" w:lineRule="auto"/>
              <w:jc w:val="center"/>
            </w:pPr>
            <w:r>
              <w:rPr>
                <w:b/>
                <w:sz w:val="18"/>
              </w:rPr>
              <w:t>Indeks (%)</w:t>
            </w:r>
          </w:p>
        </w:tc>
      </w:tr>
      <w:tr w:rsidR="00B8345E" w14:paraId="181C7C58" w14:textId="77777777">
        <w:tblPrEx>
          <w:tblCellMar>
            <w:top w:w="0" w:type="dxa"/>
            <w:bottom w:w="0" w:type="dxa"/>
          </w:tblCellMar>
        </w:tblPrEx>
        <w:trPr>
          <w:cantSplit/>
          <w:trHeight w:val="560"/>
        </w:trPr>
        <w:tc>
          <w:tcPr>
            <w:tcW w:w="700" w:type="dxa"/>
            <w:tcMar>
              <w:top w:w="0" w:type="dxa"/>
              <w:bottom w:w="0" w:type="dxa"/>
            </w:tcMar>
            <w:vAlign w:val="center"/>
          </w:tcPr>
          <w:p w14:paraId="181C7C52" w14:textId="77777777" w:rsidR="00B8345E" w:rsidRDefault="00000000">
            <w:pPr>
              <w:keepNext/>
              <w:keepLines/>
              <w:spacing w:after="0" w:line="240" w:lineRule="auto"/>
            </w:pPr>
            <w:r>
              <w:rPr>
                <w:sz w:val="18"/>
              </w:rPr>
              <w:t>169</w:t>
            </w:r>
          </w:p>
        </w:tc>
        <w:tc>
          <w:tcPr>
            <w:tcW w:w="3180" w:type="dxa"/>
            <w:tcMar>
              <w:top w:w="0" w:type="dxa"/>
              <w:bottom w:w="0" w:type="dxa"/>
            </w:tcMar>
            <w:vAlign w:val="center"/>
          </w:tcPr>
          <w:p w14:paraId="181C7C53" w14:textId="77777777" w:rsidR="00B8345E"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181C7C54" w14:textId="77777777" w:rsidR="00B8345E" w:rsidRDefault="00000000">
            <w:pPr>
              <w:keepNext/>
              <w:keepLines/>
              <w:spacing w:after="0" w:line="240" w:lineRule="auto"/>
            </w:pPr>
            <w:r>
              <w:rPr>
                <w:sz w:val="18"/>
              </w:rPr>
              <w:t>169</w:t>
            </w:r>
          </w:p>
        </w:tc>
        <w:tc>
          <w:tcPr>
            <w:tcW w:w="1860" w:type="dxa"/>
            <w:tcMar>
              <w:top w:w="0" w:type="dxa"/>
              <w:bottom w:w="0" w:type="dxa"/>
            </w:tcMar>
            <w:vAlign w:val="center"/>
          </w:tcPr>
          <w:p w14:paraId="181C7C55" w14:textId="77777777" w:rsidR="00B8345E" w:rsidRDefault="00000000">
            <w:pPr>
              <w:keepNext/>
              <w:keepLines/>
              <w:spacing w:after="0" w:line="240" w:lineRule="auto"/>
              <w:jc w:val="right"/>
            </w:pPr>
            <w:r>
              <w:rPr>
                <w:sz w:val="18"/>
              </w:rPr>
              <w:t>2.272.300,75</w:t>
            </w:r>
          </w:p>
        </w:tc>
        <w:tc>
          <w:tcPr>
            <w:tcW w:w="1860" w:type="dxa"/>
            <w:tcMar>
              <w:top w:w="0" w:type="dxa"/>
              <w:bottom w:w="0" w:type="dxa"/>
            </w:tcMar>
            <w:vAlign w:val="center"/>
          </w:tcPr>
          <w:p w14:paraId="181C7C56" w14:textId="77777777" w:rsidR="00B8345E" w:rsidRDefault="00000000">
            <w:pPr>
              <w:keepNext/>
              <w:keepLines/>
              <w:spacing w:after="0" w:line="240" w:lineRule="auto"/>
              <w:jc w:val="right"/>
            </w:pPr>
            <w:r>
              <w:rPr>
                <w:sz w:val="18"/>
              </w:rPr>
              <w:t>2.435.461,74</w:t>
            </w:r>
          </w:p>
        </w:tc>
        <w:tc>
          <w:tcPr>
            <w:tcW w:w="700" w:type="dxa"/>
            <w:tcMar>
              <w:top w:w="0" w:type="dxa"/>
              <w:bottom w:w="0" w:type="dxa"/>
            </w:tcMar>
            <w:vAlign w:val="center"/>
          </w:tcPr>
          <w:p w14:paraId="181C7C57" w14:textId="77777777" w:rsidR="00B8345E" w:rsidRDefault="00000000">
            <w:pPr>
              <w:keepNext/>
              <w:keepLines/>
              <w:spacing w:after="0" w:line="240" w:lineRule="auto"/>
              <w:jc w:val="right"/>
            </w:pPr>
            <w:r>
              <w:rPr>
                <w:sz w:val="18"/>
              </w:rPr>
              <w:t>107,2</w:t>
            </w:r>
          </w:p>
        </w:tc>
      </w:tr>
    </w:tbl>
    <w:p w14:paraId="181C7C59" w14:textId="77777777" w:rsidR="00B8345E" w:rsidRDefault="00B8345E">
      <w:pPr>
        <w:spacing w:after="0"/>
      </w:pPr>
    </w:p>
    <w:p w14:paraId="181C7C5A" w14:textId="77777777" w:rsidR="00B8345E" w:rsidRDefault="00000000">
      <w:r>
        <w:t>BILJEŠKA: VREDNOVANJE I USKLAĐENJE EU POTRAŽIVANJA NA DAN 31.12.2025.</w:t>
      </w:r>
      <w:r>
        <w:br/>
        <w:t>1. EVIDENCIJA PODNESENIH ZAHTJEVA (ZNS) Na dan 31.12.2025. Općina je provela evidentiranje potraživanja za pomoći (skupina 1638) i obračunatih prihoda (skupina 9638) temeljem svih podnesenih Zahtjeva za nadoknadu sredstava (ZNS) koji su bili u proceduri odobravanja, sukladno načelu nastanka događaja.</w:t>
      </w:r>
      <w:r>
        <w:br/>
        <w:t>2. ISPRAVAK VRIJEDNOSTI POTRAŽIVANJA (NAČELO OPREZNOSTI) Sukladno Uputi o računovodstvenom evidentiranju sredstava EU (točka 2.7. Ispravak vrijednosti), na dan 31.12.2025. provedena je procjena naplativosti evidentiranih potraživanja. Za iznose za koje postoji neizvjesnost naplate ili su utvrđeni kao neprihvatljivi troškovi u preliminarnim kontrolama posredničkih tijela, proveden je ispravak vrijednosti potraživanja na teret obračunatih prihoda.</w:t>
      </w:r>
      <w:r>
        <w:br/>
        <w:t>Evidentirano je na kontu 16913 (Ispravak vrijednosti potraživanja za pomoći iz EU):</w:t>
      </w:r>
      <w:r>
        <w:br/>
        <w:t>• Centar za starije i nemoćne osobe: Proveden je ispravak u iznosu od 929.052,73 € radi usklađenja s procijenjenim iznosom neprihvatljivih/izuzetih troškova.</w:t>
      </w:r>
      <w:r>
        <w:br/>
        <w:t xml:space="preserve">• Dječji vrtić </w:t>
      </w:r>
      <w:proofErr w:type="spellStart"/>
      <w:r>
        <w:t>Cvitić</w:t>
      </w:r>
      <w:proofErr w:type="spellEnd"/>
      <w:r>
        <w:t>: Proveden je ispravak u iznosu od 34.932,48 €.</w:t>
      </w:r>
      <w:r>
        <w:br/>
        <w:t>• Ostali projekti (Raštane, Zelena obnova): Provedeni su manji ispravci radi svođenja potraživanja na realnu naplativu vrijednost.</w:t>
      </w:r>
      <w:r>
        <w:br/>
        <w:t>3. UTJECAJ NA REZULTAT Ovim postupkom Općina je na dan 31.12.2025. iskazala neto potraživanja koja odražavaju fer i realnu vrijednost očekivanih priljeva u 2026. godini, eliminirajući rizik precjenjivanja prihoda i rezultata tekuće godine. Smanjenje obračunatih prihoda kroz ispravak vrijednosti (konto 16913) direktno je utjecalo na realniji prikaz Manjka prihoda i primitaka.</w:t>
      </w:r>
    </w:p>
    <w:p w14:paraId="181C7C5B" w14:textId="77777777" w:rsidR="00B8345E" w:rsidRDefault="00B8345E"/>
    <w:p w14:paraId="181C7C5C" w14:textId="77777777" w:rsidR="00B8345E"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C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C5D"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C5E"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C5F"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C60" w14:textId="77777777" w:rsidR="00B8345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1C7C61" w14:textId="77777777" w:rsidR="00B8345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1C7C62" w14:textId="77777777" w:rsidR="00B8345E" w:rsidRDefault="00000000">
            <w:pPr>
              <w:keepNext/>
              <w:keepLines/>
              <w:spacing w:after="0" w:line="240" w:lineRule="auto"/>
              <w:jc w:val="center"/>
            </w:pPr>
            <w:r>
              <w:rPr>
                <w:b/>
                <w:sz w:val="18"/>
              </w:rPr>
              <w:t>Indeks (%)</w:t>
            </w:r>
          </w:p>
        </w:tc>
      </w:tr>
      <w:tr w:rsidR="00B8345E" w14:paraId="181C7C6A" w14:textId="77777777">
        <w:tblPrEx>
          <w:tblCellMar>
            <w:top w:w="0" w:type="dxa"/>
            <w:bottom w:w="0" w:type="dxa"/>
          </w:tblCellMar>
        </w:tblPrEx>
        <w:trPr>
          <w:cantSplit/>
          <w:trHeight w:val="560"/>
        </w:trPr>
        <w:tc>
          <w:tcPr>
            <w:tcW w:w="700" w:type="dxa"/>
            <w:tcMar>
              <w:top w:w="0" w:type="dxa"/>
              <w:bottom w:w="0" w:type="dxa"/>
            </w:tcMar>
            <w:vAlign w:val="center"/>
          </w:tcPr>
          <w:p w14:paraId="181C7C64" w14:textId="77777777" w:rsidR="00B8345E" w:rsidRDefault="00000000">
            <w:pPr>
              <w:keepNext/>
              <w:keepLines/>
              <w:spacing w:after="0" w:line="240" w:lineRule="auto"/>
            </w:pPr>
            <w:r>
              <w:rPr>
                <w:sz w:val="18"/>
              </w:rPr>
              <w:t>171</w:t>
            </w:r>
          </w:p>
        </w:tc>
        <w:tc>
          <w:tcPr>
            <w:tcW w:w="3180" w:type="dxa"/>
            <w:tcMar>
              <w:top w:w="0" w:type="dxa"/>
              <w:bottom w:w="0" w:type="dxa"/>
            </w:tcMar>
            <w:vAlign w:val="center"/>
          </w:tcPr>
          <w:p w14:paraId="181C7C65" w14:textId="77777777" w:rsidR="00B8345E" w:rsidRDefault="00000000">
            <w:pPr>
              <w:keepNext/>
              <w:keepLines/>
              <w:spacing w:after="0" w:line="240" w:lineRule="auto"/>
            </w:pPr>
            <w:r>
              <w:rPr>
                <w:sz w:val="18"/>
              </w:rPr>
              <w:t xml:space="preserve">Potraživanje od prodaje </w:t>
            </w:r>
            <w:proofErr w:type="spellStart"/>
            <w:r>
              <w:rPr>
                <w:sz w:val="18"/>
              </w:rPr>
              <w:t>neproizvedene</w:t>
            </w:r>
            <w:proofErr w:type="spellEnd"/>
            <w:r>
              <w:rPr>
                <w:sz w:val="18"/>
              </w:rPr>
              <w:t xml:space="preserve"> dugotrajne imovine</w:t>
            </w:r>
          </w:p>
        </w:tc>
        <w:tc>
          <w:tcPr>
            <w:tcW w:w="700" w:type="dxa"/>
            <w:tcMar>
              <w:top w:w="0" w:type="dxa"/>
              <w:bottom w:w="0" w:type="dxa"/>
            </w:tcMar>
            <w:vAlign w:val="center"/>
          </w:tcPr>
          <w:p w14:paraId="181C7C66" w14:textId="77777777" w:rsidR="00B8345E" w:rsidRDefault="00000000">
            <w:pPr>
              <w:keepNext/>
              <w:keepLines/>
              <w:spacing w:after="0" w:line="240" w:lineRule="auto"/>
            </w:pPr>
            <w:r>
              <w:rPr>
                <w:sz w:val="18"/>
              </w:rPr>
              <w:t>171</w:t>
            </w:r>
          </w:p>
        </w:tc>
        <w:tc>
          <w:tcPr>
            <w:tcW w:w="1860" w:type="dxa"/>
            <w:tcMar>
              <w:top w:w="0" w:type="dxa"/>
              <w:bottom w:w="0" w:type="dxa"/>
            </w:tcMar>
            <w:vAlign w:val="center"/>
          </w:tcPr>
          <w:p w14:paraId="181C7C67" w14:textId="77777777" w:rsidR="00B8345E" w:rsidRDefault="00000000">
            <w:pPr>
              <w:keepNext/>
              <w:keepLines/>
              <w:spacing w:after="0" w:line="240" w:lineRule="auto"/>
              <w:jc w:val="right"/>
            </w:pPr>
            <w:r>
              <w:rPr>
                <w:sz w:val="18"/>
              </w:rPr>
              <w:t>17.429,36</w:t>
            </w:r>
          </w:p>
        </w:tc>
        <w:tc>
          <w:tcPr>
            <w:tcW w:w="1860" w:type="dxa"/>
            <w:tcMar>
              <w:top w:w="0" w:type="dxa"/>
              <w:bottom w:w="0" w:type="dxa"/>
            </w:tcMar>
            <w:vAlign w:val="center"/>
          </w:tcPr>
          <w:p w14:paraId="181C7C68" w14:textId="77777777" w:rsidR="00B8345E" w:rsidRDefault="00000000">
            <w:pPr>
              <w:keepNext/>
              <w:keepLines/>
              <w:spacing w:after="0" w:line="240" w:lineRule="auto"/>
              <w:jc w:val="right"/>
            </w:pPr>
            <w:r>
              <w:rPr>
                <w:sz w:val="18"/>
              </w:rPr>
              <w:t>890.716,09</w:t>
            </w:r>
          </w:p>
        </w:tc>
        <w:tc>
          <w:tcPr>
            <w:tcW w:w="700" w:type="dxa"/>
            <w:tcMar>
              <w:top w:w="0" w:type="dxa"/>
              <w:bottom w:w="0" w:type="dxa"/>
            </w:tcMar>
            <w:vAlign w:val="center"/>
          </w:tcPr>
          <w:p w14:paraId="181C7C69" w14:textId="77777777" w:rsidR="00B8345E" w:rsidRDefault="00000000">
            <w:pPr>
              <w:keepNext/>
              <w:keepLines/>
              <w:spacing w:after="0" w:line="240" w:lineRule="auto"/>
              <w:jc w:val="right"/>
            </w:pPr>
            <w:r>
              <w:rPr>
                <w:sz w:val="18"/>
              </w:rPr>
              <w:t>5110,4</w:t>
            </w:r>
          </w:p>
        </w:tc>
      </w:tr>
    </w:tbl>
    <w:p w14:paraId="181C7C6B" w14:textId="77777777" w:rsidR="00B8345E" w:rsidRDefault="00B8345E">
      <w:pPr>
        <w:spacing w:after="0"/>
      </w:pPr>
    </w:p>
    <w:p w14:paraId="181C7C6C" w14:textId="77777777" w:rsidR="00B8345E" w:rsidRDefault="00000000">
      <w:r>
        <w:t>BILJEŠKA UZ RAČUN 171 - POTRAŽIVANJA OD PRODAJE NEPROIZVEDENE DUGOTRAJNE IMOVINE</w:t>
      </w:r>
      <w:r>
        <w:br/>
        <w:t>1. STANJE I PROMET Na dan 31.12.2025. godine saldo na računu 17111 (Potraživanja za prodano zemljište) iznosi 890.716,09 €. Tijekom 2025. godine došlo je do značajnog povećanja prometa na ovom kontu uslijed realizacije strateške prodaje građevinskog zemljišta u vlasništvu Općine.</w:t>
      </w:r>
      <w:r>
        <w:br/>
        <w:t>• Ukupno zaduženje (ugovorena prodaja): 3.061.677,87 €</w:t>
      </w:r>
      <w:r>
        <w:br/>
        <w:t>• Ukupno naplaćeno u 2025.: 2.188.391,14 €</w:t>
      </w:r>
      <w:r>
        <w:br/>
        <w:t>2. STRUKTURA SALDA Preostalo otvoreno potraživanje od 890.716,09 € odnosi se na ugovorenu obročnu otplatu za prodano zemljište koja dospijeva u narednom razdoblju. Prema analitičkoj evidenciji, najveći dio odnosi se na potraživanje od društva PROJECT 4 GOOD LIFE d.o.o. (temeljem Ugovora o kupoprodaji OV-1624/2025), gdje je dio cijene naplaćen u prosincu 2025. (II. obročna rata), a preostali dio dospijeva sukladno ugovorenim rokovima u 2026. godini.</w:t>
      </w:r>
      <w:r>
        <w:br/>
        <w:t xml:space="preserve">3. UTJECAJ NA PRIHODE (GOTOVINSKO NAČELO) Sukladno Zakonu o proračunu, u Prihodima poslovanja (Razred 7) priznat je samo onaj dio koji je stvarno naplaćen na žiro račun do 31.12.2025. (cca 2,2 </w:t>
      </w:r>
      <w:proofErr w:type="spellStart"/>
      <w:r>
        <w:t>mil</w:t>
      </w:r>
      <w:proofErr w:type="spellEnd"/>
      <w:r>
        <w:t>. EUR). Otvoreno potraživanje od 890.716,09 € evidentirano je u bilanci na kontu 171, a na pasivnoj strani "pokriveno" je na kontu 97111 (Obračunati, a nenaplaćeni prihodi od prodaje zemljišta), čime je neutraliziran utjecaj nenaplaćenog dijela na rezultat poslovanja (manjak/višak) tekuće godine</w:t>
      </w:r>
    </w:p>
    <w:p w14:paraId="181C7C6D" w14:textId="77777777" w:rsidR="00B8345E" w:rsidRDefault="00B8345E"/>
    <w:p w14:paraId="181C7C6E" w14:textId="77777777" w:rsidR="00B8345E"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C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C6F"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C70"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C71"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C72" w14:textId="77777777" w:rsidR="00B8345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1C7C73" w14:textId="77777777" w:rsidR="00B8345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1C7C74" w14:textId="77777777" w:rsidR="00B8345E" w:rsidRDefault="00000000">
            <w:pPr>
              <w:keepNext/>
              <w:keepLines/>
              <w:spacing w:after="0" w:line="240" w:lineRule="auto"/>
              <w:jc w:val="center"/>
            </w:pPr>
            <w:r>
              <w:rPr>
                <w:b/>
                <w:sz w:val="18"/>
              </w:rPr>
              <w:t>Indeks (%)</w:t>
            </w:r>
          </w:p>
        </w:tc>
      </w:tr>
      <w:tr w:rsidR="00B8345E" w14:paraId="181C7C7C" w14:textId="77777777">
        <w:tblPrEx>
          <w:tblCellMar>
            <w:top w:w="0" w:type="dxa"/>
            <w:bottom w:w="0" w:type="dxa"/>
          </w:tblCellMar>
        </w:tblPrEx>
        <w:trPr>
          <w:cantSplit/>
          <w:trHeight w:val="560"/>
        </w:trPr>
        <w:tc>
          <w:tcPr>
            <w:tcW w:w="700" w:type="dxa"/>
            <w:tcMar>
              <w:top w:w="0" w:type="dxa"/>
              <w:bottom w:w="0" w:type="dxa"/>
            </w:tcMar>
            <w:vAlign w:val="center"/>
          </w:tcPr>
          <w:p w14:paraId="181C7C76" w14:textId="77777777" w:rsidR="00B8345E" w:rsidRDefault="00000000">
            <w:pPr>
              <w:keepNext/>
              <w:keepLines/>
              <w:spacing w:after="0" w:line="240" w:lineRule="auto"/>
            </w:pPr>
            <w:r>
              <w:rPr>
                <w:sz w:val="18"/>
              </w:rPr>
              <w:t>191</w:t>
            </w:r>
          </w:p>
        </w:tc>
        <w:tc>
          <w:tcPr>
            <w:tcW w:w="3180" w:type="dxa"/>
            <w:tcMar>
              <w:top w:w="0" w:type="dxa"/>
              <w:bottom w:w="0" w:type="dxa"/>
            </w:tcMar>
            <w:vAlign w:val="center"/>
          </w:tcPr>
          <w:p w14:paraId="181C7C77" w14:textId="77777777" w:rsidR="00B8345E" w:rsidRDefault="00000000">
            <w:pPr>
              <w:keepNext/>
              <w:keepLines/>
              <w:spacing w:after="0" w:line="240" w:lineRule="auto"/>
            </w:pPr>
            <w:r>
              <w:rPr>
                <w:sz w:val="18"/>
              </w:rPr>
              <w:t>Rashodi budućih razdoblja</w:t>
            </w:r>
          </w:p>
        </w:tc>
        <w:tc>
          <w:tcPr>
            <w:tcW w:w="700" w:type="dxa"/>
            <w:tcMar>
              <w:top w:w="0" w:type="dxa"/>
              <w:bottom w:w="0" w:type="dxa"/>
            </w:tcMar>
            <w:vAlign w:val="center"/>
          </w:tcPr>
          <w:p w14:paraId="181C7C78" w14:textId="77777777" w:rsidR="00B8345E" w:rsidRDefault="00000000">
            <w:pPr>
              <w:keepNext/>
              <w:keepLines/>
              <w:spacing w:after="0" w:line="240" w:lineRule="auto"/>
            </w:pPr>
            <w:r>
              <w:rPr>
                <w:sz w:val="18"/>
              </w:rPr>
              <w:t>191</w:t>
            </w:r>
          </w:p>
        </w:tc>
        <w:tc>
          <w:tcPr>
            <w:tcW w:w="1860" w:type="dxa"/>
            <w:tcMar>
              <w:top w:w="0" w:type="dxa"/>
              <w:bottom w:w="0" w:type="dxa"/>
            </w:tcMar>
            <w:vAlign w:val="center"/>
          </w:tcPr>
          <w:p w14:paraId="181C7C79" w14:textId="77777777" w:rsidR="00B8345E" w:rsidRDefault="00000000">
            <w:pPr>
              <w:keepNext/>
              <w:keepLines/>
              <w:spacing w:after="0" w:line="240" w:lineRule="auto"/>
              <w:jc w:val="right"/>
            </w:pPr>
            <w:r>
              <w:rPr>
                <w:sz w:val="18"/>
              </w:rPr>
              <w:t>391.098,42</w:t>
            </w:r>
          </w:p>
        </w:tc>
        <w:tc>
          <w:tcPr>
            <w:tcW w:w="1860" w:type="dxa"/>
            <w:tcMar>
              <w:top w:w="0" w:type="dxa"/>
              <w:bottom w:w="0" w:type="dxa"/>
            </w:tcMar>
            <w:vAlign w:val="center"/>
          </w:tcPr>
          <w:p w14:paraId="181C7C7A" w14:textId="77777777" w:rsidR="00B8345E" w:rsidRDefault="00000000">
            <w:pPr>
              <w:keepNext/>
              <w:keepLines/>
              <w:spacing w:after="0" w:line="240" w:lineRule="auto"/>
              <w:jc w:val="right"/>
            </w:pPr>
            <w:r>
              <w:rPr>
                <w:sz w:val="18"/>
              </w:rPr>
              <w:t>40.098,42</w:t>
            </w:r>
          </w:p>
        </w:tc>
        <w:tc>
          <w:tcPr>
            <w:tcW w:w="700" w:type="dxa"/>
            <w:tcMar>
              <w:top w:w="0" w:type="dxa"/>
              <w:bottom w:w="0" w:type="dxa"/>
            </w:tcMar>
            <w:vAlign w:val="center"/>
          </w:tcPr>
          <w:p w14:paraId="181C7C7B" w14:textId="77777777" w:rsidR="00B8345E" w:rsidRDefault="00000000">
            <w:pPr>
              <w:keepNext/>
              <w:keepLines/>
              <w:spacing w:after="0" w:line="240" w:lineRule="auto"/>
              <w:jc w:val="right"/>
            </w:pPr>
            <w:r>
              <w:rPr>
                <w:sz w:val="18"/>
              </w:rPr>
              <w:t>10,3</w:t>
            </w:r>
          </w:p>
        </w:tc>
      </w:tr>
    </w:tbl>
    <w:p w14:paraId="181C7C7D" w14:textId="77777777" w:rsidR="00B8345E" w:rsidRDefault="00B8345E">
      <w:pPr>
        <w:spacing w:after="0"/>
      </w:pPr>
    </w:p>
    <w:p w14:paraId="181C7C7E" w14:textId="77777777" w:rsidR="00B8345E" w:rsidRDefault="00000000">
      <w:r>
        <w:t>BILJEŠKA UZ RAČUN 191 - RASHODI BUDUĆIH RAZDOBLJA</w:t>
      </w:r>
      <w:r>
        <w:br/>
        <w:t>1. ANALIZA STANJA I PROMETA Na računu 19111 (Rashodi budućih razdoblja) vidljiva je značajna promjena u odnosu na početak godine:</w:t>
      </w:r>
      <w:r>
        <w:br/>
        <w:t>• Početno stanje (01.01.2025.): 391.098,42 €</w:t>
      </w:r>
      <w:r>
        <w:br/>
        <w:t>• Smanjenje tijekom godine (Potražuje): 351.000,00 €</w:t>
      </w:r>
      <w:r>
        <w:br/>
        <w:t>• Konačno stanje (31.12.2025.): 40.098,42 €</w:t>
      </w:r>
      <w:r>
        <w:br/>
        <w:t xml:space="preserve">2. OBRAZLOŽENJE SMANJENJA (RASHODOVANJE) Do značajnog smanjenja salda </w:t>
      </w:r>
      <w:r>
        <w:lastRenderedPageBreak/>
        <w:t>došlo je uslijed priznavanja rashoda tekućeg razdoblja za usluge/ugovore koji su prethodno bili plaćeni ili evidentirani kao unaprijed plaćeni troškovi. Prema analitičkoj evidenciji, najveći dio zatvorenog iznosa (351.000,00 €) odnosi se na obračunska plaćanja i zatvaranje odnosa s komunalnim društvom (vidljivo u kartici kao stavke "komunalac" i "izvodi"). Ovi iznosi su tijekom 2025. godine preneseni na stvarni trošak/rashod jer je usluga izvršena ili je razdoblje na koje se odnosilo plaćanje isteklo.</w:t>
      </w:r>
      <w:r>
        <w:br/>
        <w:t>3. STRUKTURA ZAVRŠNOG SALDA Preostali saldo od 40.098,42 € na dan 31.12.2025. predstavlja rashode koji su plaćeni ili preuzeti, a odnose se na poslovanje u 2026. godini (aktivna vremenska razgraničenja). Ovaj iznos bit će priznat kao rashod u narednom izvještajnom razdoblju sukladno načelu nastanka događaja.</w:t>
      </w:r>
      <w:r>
        <w:br/>
        <w:t>4. NAPOMENA O UKIDANJU GRUPE 193 Važno je napomenuti da je, sukladno novom Pravilniku (čl. 233.), u potpunosti zatvorena i ukinuta srodna skupina 193 (Kontinuirani rashodi budućih razdoblja), čije je početno stanje od 8.000,00 € svedeno na 0,00 €, čime je Općina uskladila svoje evidencije s novim zakonskim okvirom koji više ne poznaje tu kategoriju.</w:t>
      </w:r>
    </w:p>
    <w:p w14:paraId="181C7C7F" w14:textId="77777777" w:rsidR="00B8345E" w:rsidRDefault="00B8345E"/>
    <w:p w14:paraId="181C7C80" w14:textId="77777777" w:rsidR="00B8345E"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C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C81"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C82"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C83"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C84" w14:textId="77777777" w:rsidR="00B8345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1C7C85" w14:textId="77777777" w:rsidR="00B8345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1C7C86" w14:textId="77777777" w:rsidR="00B8345E" w:rsidRDefault="00000000">
            <w:pPr>
              <w:keepNext/>
              <w:keepLines/>
              <w:spacing w:after="0" w:line="240" w:lineRule="auto"/>
              <w:jc w:val="center"/>
            </w:pPr>
            <w:r>
              <w:rPr>
                <w:b/>
                <w:sz w:val="18"/>
              </w:rPr>
              <w:t>Indeks (%)</w:t>
            </w:r>
          </w:p>
        </w:tc>
      </w:tr>
      <w:tr w:rsidR="00B8345E" w14:paraId="181C7C8E" w14:textId="77777777">
        <w:tblPrEx>
          <w:tblCellMar>
            <w:top w:w="0" w:type="dxa"/>
            <w:bottom w:w="0" w:type="dxa"/>
          </w:tblCellMar>
        </w:tblPrEx>
        <w:trPr>
          <w:cantSplit/>
          <w:trHeight w:val="560"/>
        </w:trPr>
        <w:tc>
          <w:tcPr>
            <w:tcW w:w="700" w:type="dxa"/>
            <w:tcMar>
              <w:top w:w="0" w:type="dxa"/>
              <w:bottom w:w="0" w:type="dxa"/>
            </w:tcMar>
            <w:vAlign w:val="center"/>
          </w:tcPr>
          <w:p w14:paraId="181C7C88" w14:textId="77777777" w:rsidR="00B8345E" w:rsidRDefault="00000000">
            <w:pPr>
              <w:keepNext/>
              <w:keepLines/>
              <w:spacing w:after="0" w:line="240" w:lineRule="auto"/>
            </w:pPr>
            <w:r>
              <w:rPr>
                <w:sz w:val="18"/>
              </w:rPr>
              <w:t>231</w:t>
            </w:r>
          </w:p>
        </w:tc>
        <w:tc>
          <w:tcPr>
            <w:tcW w:w="3180" w:type="dxa"/>
            <w:tcMar>
              <w:top w:w="0" w:type="dxa"/>
              <w:bottom w:w="0" w:type="dxa"/>
            </w:tcMar>
            <w:vAlign w:val="center"/>
          </w:tcPr>
          <w:p w14:paraId="181C7C89" w14:textId="77777777" w:rsidR="00B8345E" w:rsidRDefault="00000000">
            <w:pPr>
              <w:keepNext/>
              <w:keepLines/>
              <w:spacing w:after="0" w:line="240" w:lineRule="auto"/>
            </w:pPr>
            <w:r>
              <w:rPr>
                <w:sz w:val="18"/>
              </w:rPr>
              <w:t>Obveze za zaposlene</w:t>
            </w:r>
          </w:p>
        </w:tc>
        <w:tc>
          <w:tcPr>
            <w:tcW w:w="700" w:type="dxa"/>
            <w:tcMar>
              <w:top w:w="0" w:type="dxa"/>
              <w:bottom w:w="0" w:type="dxa"/>
            </w:tcMar>
            <w:vAlign w:val="center"/>
          </w:tcPr>
          <w:p w14:paraId="181C7C8A" w14:textId="77777777" w:rsidR="00B8345E" w:rsidRDefault="00000000">
            <w:pPr>
              <w:keepNext/>
              <w:keepLines/>
              <w:spacing w:after="0" w:line="240" w:lineRule="auto"/>
            </w:pPr>
            <w:r>
              <w:rPr>
                <w:sz w:val="18"/>
              </w:rPr>
              <w:t>231</w:t>
            </w:r>
          </w:p>
        </w:tc>
        <w:tc>
          <w:tcPr>
            <w:tcW w:w="1860" w:type="dxa"/>
            <w:tcMar>
              <w:top w:w="0" w:type="dxa"/>
              <w:bottom w:w="0" w:type="dxa"/>
            </w:tcMar>
            <w:vAlign w:val="center"/>
          </w:tcPr>
          <w:p w14:paraId="181C7C8B" w14:textId="77777777" w:rsidR="00B8345E" w:rsidRDefault="00000000">
            <w:pPr>
              <w:keepNext/>
              <w:keepLines/>
              <w:spacing w:after="0" w:line="240" w:lineRule="auto"/>
              <w:jc w:val="right"/>
            </w:pPr>
            <w:r>
              <w:rPr>
                <w:sz w:val="18"/>
              </w:rPr>
              <w:t>90.713,89</w:t>
            </w:r>
          </w:p>
        </w:tc>
        <w:tc>
          <w:tcPr>
            <w:tcW w:w="1860" w:type="dxa"/>
            <w:tcMar>
              <w:top w:w="0" w:type="dxa"/>
              <w:bottom w:w="0" w:type="dxa"/>
            </w:tcMar>
            <w:vAlign w:val="center"/>
          </w:tcPr>
          <w:p w14:paraId="181C7C8C" w14:textId="77777777" w:rsidR="00B8345E" w:rsidRDefault="00000000">
            <w:pPr>
              <w:keepNext/>
              <w:keepLines/>
              <w:spacing w:after="0" w:line="240" w:lineRule="auto"/>
              <w:jc w:val="right"/>
            </w:pPr>
            <w:r>
              <w:rPr>
                <w:sz w:val="18"/>
              </w:rPr>
              <w:t>217.661,72</w:t>
            </w:r>
          </w:p>
        </w:tc>
        <w:tc>
          <w:tcPr>
            <w:tcW w:w="700" w:type="dxa"/>
            <w:tcMar>
              <w:top w:w="0" w:type="dxa"/>
              <w:bottom w:w="0" w:type="dxa"/>
            </w:tcMar>
            <w:vAlign w:val="center"/>
          </w:tcPr>
          <w:p w14:paraId="181C7C8D" w14:textId="77777777" w:rsidR="00B8345E" w:rsidRDefault="00000000">
            <w:pPr>
              <w:keepNext/>
              <w:keepLines/>
              <w:spacing w:after="0" w:line="240" w:lineRule="auto"/>
              <w:jc w:val="right"/>
            </w:pPr>
            <w:r>
              <w:rPr>
                <w:sz w:val="18"/>
              </w:rPr>
              <w:t>239,9</w:t>
            </w:r>
          </w:p>
        </w:tc>
      </w:tr>
    </w:tbl>
    <w:p w14:paraId="181C7C8F" w14:textId="77777777" w:rsidR="00B8345E" w:rsidRDefault="00B8345E">
      <w:pPr>
        <w:spacing w:after="0"/>
      </w:pPr>
    </w:p>
    <w:p w14:paraId="181C7C90" w14:textId="77777777" w:rsidR="00B8345E" w:rsidRDefault="00000000">
      <w:r>
        <w:t>BILJEŠKA UZ SKUPINU 231 - OBVEZE ZA ZAPOSLENE</w:t>
      </w:r>
      <w:r>
        <w:br/>
        <w:t>1. STANJE I STRUKTURA OBVEZA Na dan 31.12.2025. godine ukupne obveze prema zaposlenima iznose 217.661,72 €. Struktura obveza prema vrsti troška je sljedeća:</w:t>
      </w:r>
      <w:r>
        <w:br/>
        <w:t>• Obveze za neto plaće (2311): 127.427,88 €</w:t>
      </w:r>
      <w:r>
        <w:br/>
        <w:t>• Obveze za poreze i doprinose (2314-2316): 63.517,80 €</w:t>
      </w:r>
      <w:r>
        <w:br/>
        <w:t>• Ostale obveze (darovi, naknade) (2317): 25.545,44 €</w:t>
      </w:r>
      <w:r>
        <w:br/>
        <w:t>• Obveze za naknade plaća (bolovanja) (2312): 1.170,60 €</w:t>
      </w:r>
      <w:r>
        <w:br/>
        <w:t>2. RAZLOG POVEĆANJA I VISINE SALDA Iskazano stanje primarno se odnosi na obračun plaće za mjesec prosinac 2025., koja dospijeva na naplatu u siječnju 2026. godine (nedospjele obveze). Do povećanja mase plaća i obveza u odnosu na prethodno razdoblje došlo je uslijed tri ključna faktora:</w:t>
      </w:r>
      <w:r>
        <w:br/>
        <w:t>1. EU Projekt "Zaželi - faza IV": Značajan dio obveza odnosi se na plaće zaposlenica na projektu (konto 231117 i 231119), što je u cijelosti financirano iz EU sredstava (Izvor 561).</w:t>
      </w:r>
      <w:r>
        <w:br/>
        <w:t xml:space="preserve">2. Dječji vrtić </w:t>
      </w:r>
      <w:proofErr w:type="spellStart"/>
      <w:r>
        <w:t>Cvitić</w:t>
      </w:r>
      <w:proofErr w:type="spellEnd"/>
      <w:r>
        <w:t>: Konsolidirani su rashodi za zaposlene u dječjem vrtiću (konto 231111), koji čine značajan udio u ukupnoj masi plaća.</w:t>
      </w:r>
      <w:r>
        <w:br/>
        <w:t>3. Zakonsko povećanje osnovice: Primijenjena je nova osnovica za obračun plaća (povećanje s 440,00 na 620,00 €) te usklađenje koeficijenata sukladno zakonskim propisima.</w:t>
      </w:r>
      <w:r>
        <w:br/>
        <w:t>3. STATUS PODMIRENJA Obveze za plaće za prosinac 2025. godine (glavnica, porezi i doprinosi) podmirene su u siječnju 2026. godine u zakonskom roku, stoga iskazani saldo ne predstavlja dospjelo dugovanje koje bi ugrozilo likvidnost.</w:t>
      </w:r>
    </w:p>
    <w:p w14:paraId="181C7C91" w14:textId="77777777" w:rsidR="00B8345E" w:rsidRDefault="00B8345E"/>
    <w:p w14:paraId="181C7C92" w14:textId="77777777" w:rsidR="00B8345E"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C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C93"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C94"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C95"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C96" w14:textId="77777777" w:rsidR="00B8345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1C7C97" w14:textId="77777777" w:rsidR="00B8345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1C7C98" w14:textId="77777777" w:rsidR="00B8345E" w:rsidRDefault="00000000">
            <w:pPr>
              <w:keepNext/>
              <w:keepLines/>
              <w:spacing w:after="0" w:line="240" w:lineRule="auto"/>
              <w:jc w:val="center"/>
            </w:pPr>
            <w:r>
              <w:rPr>
                <w:b/>
                <w:sz w:val="18"/>
              </w:rPr>
              <w:t>Indeks (%)</w:t>
            </w:r>
          </w:p>
        </w:tc>
      </w:tr>
      <w:tr w:rsidR="00B8345E" w14:paraId="181C7CA0" w14:textId="77777777">
        <w:tblPrEx>
          <w:tblCellMar>
            <w:top w:w="0" w:type="dxa"/>
            <w:bottom w:w="0" w:type="dxa"/>
          </w:tblCellMar>
        </w:tblPrEx>
        <w:trPr>
          <w:cantSplit/>
          <w:trHeight w:val="560"/>
        </w:trPr>
        <w:tc>
          <w:tcPr>
            <w:tcW w:w="700" w:type="dxa"/>
            <w:tcMar>
              <w:top w:w="0" w:type="dxa"/>
              <w:bottom w:w="0" w:type="dxa"/>
            </w:tcMar>
            <w:vAlign w:val="center"/>
          </w:tcPr>
          <w:p w14:paraId="181C7C9A" w14:textId="77777777" w:rsidR="00B8345E" w:rsidRDefault="00000000">
            <w:pPr>
              <w:keepNext/>
              <w:keepLines/>
              <w:spacing w:after="0" w:line="240" w:lineRule="auto"/>
            </w:pPr>
            <w:r>
              <w:rPr>
                <w:sz w:val="18"/>
              </w:rPr>
              <w:t>26</w:t>
            </w:r>
          </w:p>
        </w:tc>
        <w:tc>
          <w:tcPr>
            <w:tcW w:w="3180" w:type="dxa"/>
            <w:tcMar>
              <w:top w:w="0" w:type="dxa"/>
              <w:bottom w:w="0" w:type="dxa"/>
            </w:tcMar>
            <w:vAlign w:val="center"/>
          </w:tcPr>
          <w:p w14:paraId="181C7C9B" w14:textId="77777777" w:rsidR="00B8345E"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181C7C9C" w14:textId="77777777" w:rsidR="00B8345E" w:rsidRDefault="00000000">
            <w:pPr>
              <w:keepNext/>
              <w:keepLines/>
              <w:spacing w:after="0" w:line="240" w:lineRule="auto"/>
            </w:pPr>
            <w:r>
              <w:rPr>
                <w:sz w:val="18"/>
              </w:rPr>
              <w:t>26</w:t>
            </w:r>
          </w:p>
        </w:tc>
        <w:tc>
          <w:tcPr>
            <w:tcW w:w="1860" w:type="dxa"/>
            <w:tcMar>
              <w:top w:w="0" w:type="dxa"/>
              <w:bottom w:w="0" w:type="dxa"/>
            </w:tcMar>
            <w:vAlign w:val="center"/>
          </w:tcPr>
          <w:p w14:paraId="181C7C9D" w14:textId="77777777" w:rsidR="00B8345E" w:rsidRDefault="00000000">
            <w:pPr>
              <w:keepNext/>
              <w:keepLines/>
              <w:spacing w:after="0" w:line="240" w:lineRule="auto"/>
              <w:jc w:val="right"/>
            </w:pPr>
            <w:r>
              <w:rPr>
                <w:sz w:val="18"/>
              </w:rPr>
              <w:t>1.417.794,05</w:t>
            </w:r>
          </w:p>
        </w:tc>
        <w:tc>
          <w:tcPr>
            <w:tcW w:w="1860" w:type="dxa"/>
            <w:tcMar>
              <w:top w:w="0" w:type="dxa"/>
              <w:bottom w:w="0" w:type="dxa"/>
            </w:tcMar>
            <w:vAlign w:val="center"/>
          </w:tcPr>
          <w:p w14:paraId="181C7C9E" w14:textId="77777777" w:rsidR="00B8345E" w:rsidRDefault="00000000">
            <w:pPr>
              <w:keepNext/>
              <w:keepLines/>
              <w:spacing w:after="0" w:line="240" w:lineRule="auto"/>
              <w:jc w:val="right"/>
            </w:pPr>
            <w:r>
              <w:rPr>
                <w:sz w:val="18"/>
              </w:rPr>
              <w:t>4.938.622,21</w:t>
            </w:r>
          </w:p>
        </w:tc>
        <w:tc>
          <w:tcPr>
            <w:tcW w:w="700" w:type="dxa"/>
            <w:tcMar>
              <w:top w:w="0" w:type="dxa"/>
              <w:bottom w:w="0" w:type="dxa"/>
            </w:tcMar>
            <w:vAlign w:val="center"/>
          </w:tcPr>
          <w:p w14:paraId="181C7C9F" w14:textId="77777777" w:rsidR="00B8345E" w:rsidRDefault="00000000">
            <w:pPr>
              <w:keepNext/>
              <w:keepLines/>
              <w:spacing w:after="0" w:line="240" w:lineRule="auto"/>
              <w:jc w:val="right"/>
            </w:pPr>
            <w:r>
              <w:rPr>
                <w:sz w:val="18"/>
              </w:rPr>
              <w:t>348,3</w:t>
            </w:r>
          </w:p>
        </w:tc>
      </w:tr>
    </w:tbl>
    <w:p w14:paraId="181C7CA1" w14:textId="77777777" w:rsidR="00B8345E" w:rsidRDefault="00B8345E">
      <w:pPr>
        <w:spacing w:after="0"/>
      </w:pPr>
    </w:p>
    <w:p w14:paraId="181C7CA2" w14:textId="77777777" w:rsidR="00B8345E" w:rsidRDefault="00000000">
      <w:r>
        <w:t>BILJEŠKA UZ SKUPINU 26 - OBVEZE ZA KREDITE I ZAJMOVE</w:t>
      </w:r>
      <w:r>
        <w:br/>
        <w:t>1. STANJE I STRUKTURA ZADUŽENOSTI Na dan 31.12.2025. godine ukupne obveze za kredite i zajmove iznose 4.938.622,21 €. U odnosu na prethodno razdoblje, došlo je do značajnog povećanja zaduženosti koje je izravna posljedica realizacije kapitalnih EU projekata. Obveze se dijele na:</w:t>
      </w:r>
      <w:r>
        <w:br/>
        <w:t>• Dugoročne obveze: 3.836.442,29 € (financiranje kapitalnih investicija)</w:t>
      </w:r>
      <w:r>
        <w:br/>
        <w:t>• Kratkoročne obveze: 1.102.179,92 € (premošćivanje likvidnosti do povrata EU sredstava)</w:t>
      </w:r>
      <w:r>
        <w:br/>
        <w:t>2. ANALIZA NAJZNAČAJNIJIH STAVKI</w:t>
      </w:r>
      <w:r>
        <w:br/>
        <w:t>• HBOR - Kredit za Centar za starije i nemoćne (Konto 2622): Najveća pojedinačna stavka duga odnosi se na dugoročni kredit kod HBOR-a (kreditna institucija u javnom sektoru) sa saldom od 3.059,592,82 €. Ovaj kredit namjenski je ugovoren za financiranje izgradnje Centra za starije osobe (NPOO projekt). Iznos duga prati dinamiku ispostavljenih situacija za radove (</w:t>
      </w:r>
      <w:proofErr w:type="spellStart"/>
      <w:r>
        <w:t>Constructa</w:t>
      </w:r>
      <w:proofErr w:type="spellEnd"/>
      <w:r>
        <w:t xml:space="preserve"> Terra d.o.o.), a otplata je usklađena s dugoročnim planom otplate po završetku projekta.</w:t>
      </w:r>
      <w:r>
        <w:br/>
        <w:t>• Krediti poslovnih banaka (Konto 2643): Ukupno stanje obveza prema tuzemnim poslovnim bankama iznosi 1.502.268,40 €, a sastoji se od:</w:t>
      </w:r>
      <w:r>
        <w:br/>
        <w:t>    1. Kratkoročni kredit (Erste banka): Saldo od 764.204,16 €. Riječ je o "</w:t>
      </w:r>
      <w:proofErr w:type="spellStart"/>
      <w:r>
        <w:t>bridge</w:t>
      </w:r>
      <w:proofErr w:type="spellEnd"/>
      <w:r>
        <w:t>" financiranju (kredit za premošćivanje) koje se koristi za plaćanje izvođača dok se čeka refundacija EU sredstava po ZNS-ovima. Ova obveza se zatvara priljevom bespovratnih sredstava.</w:t>
      </w:r>
      <w:r>
        <w:br/>
        <w:t xml:space="preserve">    2. Dugoročni krediti (HPB i HBOR-poslovni): Saldo od 738.064,24 €, koji se odnosi na kredit HPB-a (571.000 €) i dio kredita za Dječji vrtić </w:t>
      </w:r>
      <w:proofErr w:type="spellStart"/>
      <w:r>
        <w:t>Turanj</w:t>
      </w:r>
      <w:proofErr w:type="spellEnd"/>
      <w:r>
        <w:t>.</w:t>
      </w:r>
      <w:r>
        <w:br/>
        <w:t>• Zajmovi državnog proračuna (Konto 2671): Evidentirana je obveza od 38.785,23 € koja se odnosi na beskamatne zajmove iz državnog proračuna.</w:t>
      </w:r>
      <w:r>
        <w:br/>
        <w:t>3. UTJECAJ NA LIKVIDNOST Iako je nominalni iznos duga visok, struktura zaduženja pokazuje da je ono usmjereno isključivo u povećanje vrijednosti nefinancijske imovine (kapitalni projekti). Kratkoročni dio duga (Erste) pokriven je potraživanjima za EU sredstva (konto 1638), dok se dugoročni dio otplaćuje iz fiskalnih prihoda kroz duže vremensko razdoblje, ne ugrožavajući tekuću likvidnost.</w:t>
      </w:r>
    </w:p>
    <w:p w14:paraId="181C7CA3" w14:textId="77777777" w:rsidR="00B8345E" w:rsidRDefault="00B8345E"/>
    <w:p w14:paraId="181C7CA4" w14:textId="77777777" w:rsidR="00B8345E"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C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CA5"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CA6"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CA7"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CA8" w14:textId="77777777" w:rsidR="00B8345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1C7CA9" w14:textId="77777777" w:rsidR="00B8345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1C7CAA" w14:textId="77777777" w:rsidR="00B8345E" w:rsidRDefault="00000000">
            <w:pPr>
              <w:keepNext/>
              <w:keepLines/>
              <w:spacing w:after="0" w:line="240" w:lineRule="auto"/>
              <w:jc w:val="center"/>
            </w:pPr>
            <w:r>
              <w:rPr>
                <w:b/>
                <w:sz w:val="18"/>
              </w:rPr>
              <w:t>Indeks (%)</w:t>
            </w:r>
          </w:p>
        </w:tc>
      </w:tr>
      <w:tr w:rsidR="00B8345E" w14:paraId="181C7CB2" w14:textId="77777777">
        <w:tblPrEx>
          <w:tblCellMar>
            <w:top w:w="0" w:type="dxa"/>
            <w:bottom w:w="0" w:type="dxa"/>
          </w:tblCellMar>
        </w:tblPrEx>
        <w:trPr>
          <w:cantSplit/>
          <w:trHeight w:val="560"/>
        </w:trPr>
        <w:tc>
          <w:tcPr>
            <w:tcW w:w="700" w:type="dxa"/>
            <w:tcMar>
              <w:top w:w="0" w:type="dxa"/>
              <w:bottom w:w="0" w:type="dxa"/>
            </w:tcMar>
            <w:vAlign w:val="center"/>
          </w:tcPr>
          <w:p w14:paraId="181C7CAC" w14:textId="77777777" w:rsidR="00B8345E" w:rsidRDefault="00B8345E">
            <w:pPr>
              <w:keepNext/>
              <w:keepLines/>
              <w:spacing w:after="0" w:line="240" w:lineRule="auto"/>
            </w:pPr>
          </w:p>
        </w:tc>
        <w:tc>
          <w:tcPr>
            <w:tcW w:w="3180" w:type="dxa"/>
            <w:tcMar>
              <w:top w:w="0" w:type="dxa"/>
              <w:bottom w:w="0" w:type="dxa"/>
            </w:tcMar>
            <w:vAlign w:val="center"/>
          </w:tcPr>
          <w:p w14:paraId="181C7CAD" w14:textId="77777777" w:rsidR="00B8345E" w:rsidRDefault="00000000">
            <w:pPr>
              <w:keepNext/>
              <w:keepLines/>
              <w:spacing w:after="0" w:line="240" w:lineRule="auto"/>
            </w:pPr>
            <w:r>
              <w:rPr>
                <w:sz w:val="18"/>
              </w:rPr>
              <w:t>Obveze za kredite i zajmove - inozemne (šifre 2613+2614+2615+2616+2646+2647+2648+2655+2656)</w:t>
            </w:r>
          </w:p>
        </w:tc>
        <w:tc>
          <w:tcPr>
            <w:tcW w:w="700" w:type="dxa"/>
            <w:tcMar>
              <w:top w:w="0" w:type="dxa"/>
              <w:bottom w:w="0" w:type="dxa"/>
            </w:tcMar>
            <w:vAlign w:val="center"/>
          </w:tcPr>
          <w:p w14:paraId="181C7CAE" w14:textId="77777777" w:rsidR="00B8345E" w:rsidRDefault="00000000">
            <w:pPr>
              <w:keepNext/>
              <w:keepLines/>
              <w:spacing w:after="0" w:line="240" w:lineRule="auto"/>
            </w:pPr>
            <w:r>
              <w:rPr>
                <w:sz w:val="18"/>
              </w:rPr>
              <w:t>26X2</w:t>
            </w:r>
          </w:p>
        </w:tc>
        <w:tc>
          <w:tcPr>
            <w:tcW w:w="1860" w:type="dxa"/>
            <w:tcMar>
              <w:top w:w="0" w:type="dxa"/>
              <w:bottom w:w="0" w:type="dxa"/>
            </w:tcMar>
            <w:vAlign w:val="center"/>
          </w:tcPr>
          <w:p w14:paraId="181C7CAF" w14:textId="77777777" w:rsidR="00B8345E" w:rsidRDefault="00000000">
            <w:pPr>
              <w:keepNext/>
              <w:keepLines/>
              <w:spacing w:after="0" w:line="240" w:lineRule="auto"/>
              <w:jc w:val="right"/>
            </w:pPr>
            <w:r>
              <w:rPr>
                <w:sz w:val="18"/>
              </w:rPr>
              <w:t>45.419,28</w:t>
            </w:r>
          </w:p>
        </w:tc>
        <w:tc>
          <w:tcPr>
            <w:tcW w:w="1860" w:type="dxa"/>
            <w:tcMar>
              <w:top w:w="0" w:type="dxa"/>
              <w:bottom w:w="0" w:type="dxa"/>
            </w:tcMar>
            <w:vAlign w:val="center"/>
          </w:tcPr>
          <w:p w14:paraId="181C7CB0" w14:textId="77777777" w:rsidR="00B8345E" w:rsidRDefault="00000000">
            <w:pPr>
              <w:keepNext/>
              <w:keepLines/>
              <w:spacing w:after="0" w:line="240" w:lineRule="auto"/>
              <w:jc w:val="right"/>
            </w:pPr>
            <w:r>
              <w:rPr>
                <w:sz w:val="18"/>
              </w:rPr>
              <w:t>194,39</w:t>
            </w:r>
          </w:p>
        </w:tc>
        <w:tc>
          <w:tcPr>
            <w:tcW w:w="700" w:type="dxa"/>
            <w:tcMar>
              <w:top w:w="0" w:type="dxa"/>
              <w:bottom w:w="0" w:type="dxa"/>
            </w:tcMar>
            <w:vAlign w:val="center"/>
          </w:tcPr>
          <w:p w14:paraId="181C7CB1" w14:textId="77777777" w:rsidR="00B8345E" w:rsidRDefault="00000000">
            <w:pPr>
              <w:keepNext/>
              <w:keepLines/>
              <w:spacing w:after="0" w:line="240" w:lineRule="auto"/>
              <w:jc w:val="right"/>
            </w:pPr>
            <w:r>
              <w:rPr>
                <w:sz w:val="18"/>
              </w:rPr>
              <w:t>0,4</w:t>
            </w:r>
          </w:p>
        </w:tc>
      </w:tr>
    </w:tbl>
    <w:p w14:paraId="181C7CB3" w14:textId="77777777" w:rsidR="00B8345E" w:rsidRDefault="00B8345E">
      <w:pPr>
        <w:spacing w:after="0"/>
      </w:pPr>
    </w:p>
    <w:p w14:paraId="181C7CB4" w14:textId="77777777" w:rsidR="00B8345E" w:rsidRDefault="00000000">
      <w:r>
        <w:t>BILJEŠKA UZ KONTO 2646 - OBVEZE ZA FAKTORING (GOLEMI D.O.O.)</w:t>
      </w:r>
      <w:r>
        <w:br/>
        <w:t xml:space="preserve">Stanje i opis obveze: Na poziciji 26464 (Obveze za zajmove po </w:t>
      </w:r>
      <w:proofErr w:type="spellStart"/>
      <w:r>
        <w:t>faktoringu</w:t>
      </w:r>
      <w:proofErr w:type="spellEnd"/>
      <w:r>
        <w:t xml:space="preserve"> od inozemnih kreditnih institucija) iskazan je preostali saldo u iznosu od 194,39 €. Navedena stavka odnosi se na završno zatvaranje obveze po ugovoru o </w:t>
      </w:r>
      <w:proofErr w:type="spellStart"/>
      <w:r>
        <w:t>faktoringu</w:t>
      </w:r>
      <w:proofErr w:type="spellEnd"/>
      <w:r>
        <w:t xml:space="preserve"> za financiranje radova na projektu "Izgradnja tribina na igralištu u Raštanima Gornjim" (Izvođač: Golemi d.o.o.).</w:t>
      </w:r>
      <w:r>
        <w:br/>
        <w:t>Promet u tekućoj godini: Tijekom 2025. godine otplaćena je glavnica u iznosu od 45.224,89 € (konto 544341), čime je ova kreditna obveza svedena na minimalni iznos koji dospijeva početkom 2026. godine. Iako je riječ o domaćem dobavljaču, obveza je povijesno klasificirana na ovom kontu zbog specifičnosti financijskog aranžmana u trenutku ugovaranja.</w:t>
      </w:r>
    </w:p>
    <w:p w14:paraId="181C7CB5" w14:textId="77777777" w:rsidR="00B8345E" w:rsidRDefault="00B8345E"/>
    <w:p w14:paraId="181C7CB6" w14:textId="77777777" w:rsidR="00B8345E"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C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CB7"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CB8"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CB9"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CBA" w14:textId="77777777" w:rsidR="00B8345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1C7CBB" w14:textId="77777777" w:rsidR="00B8345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1C7CBC" w14:textId="77777777" w:rsidR="00B8345E" w:rsidRDefault="00000000">
            <w:pPr>
              <w:keepNext/>
              <w:keepLines/>
              <w:spacing w:after="0" w:line="240" w:lineRule="auto"/>
              <w:jc w:val="center"/>
            </w:pPr>
            <w:r>
              <w:rPr>
                <w:b/>
                <w:sz w:val="18"/>
              </w:rPr>
              <w:t>Indeks (%)</w:t>
            </w:r>
          </w:p>
        </w:tc>
      </w:tr>
      <w:tr w:rsidR="00B8345E" w14:paraId="181C7CC4" w14:textId="77777777">
        <w:tblPrEx>
          <w:tblCellMar>
            <w:top w:w="0" w:type="dxa"/>
            <w:bottom w:w="0" w:type="dxa"/>
          </w:tblCellMar>
        </w:tblPrEx>
        <w:trPr>
          <w:cantSplit/>
          <w:trHeight w:val="560"/>
        </w:trPr>
        <w:tc>
          <w:tcPr>
            <w:tcW w:w="700" w:type="dxa"/>
            <w:tcMar>
              <w:top w:w="0" w:type="dxa"/>
              <w:bottom w:w="0" w:type="dxa"/>
            </w:tcMar>
            <w:vAlign w:val="center"/>
          </w:tcPr>
          <w:p w14:paraId="181C7CBE" w14:textId="77777777" w:rsidR="00B8345E" w:rsidRDefault="00000000">
            <w:pPr>
              <w:keepNext/>
              <w:keepLines/>
              <w:spacing w:after="0" w:line="240" w:lineRule="auto"/>
            </w:pPr>
            <w:r>
              <w:rPr>
                <w:sz w:val="18"/>
              </w:rPr>
              <w:t>912</w:t>
            </w:r>
          </w:p>
        </w:tc>
        <w:tc>
          <w:tcPr>
            <w:tcW w:w="3180" w:type="dxa"/>
            <w:tcMar>
              <w:top w:w="0" w:type="dxa"/>
              <w:bottom w:w="0" w:type="dxa"/>
            </w:tcMar>
            <w:vAlign w:val="center"/>
          </w:tcPr>
          <w:p w14:paraId="181C7CBF" w14:textId="77777777" w:rsidR="00B8345E" w:rsidRDefault="00000000">
            <w:pPr>
              <w:keepNext/>
              <w:keepLines/>
              <w:spacing w:after="0" w:line="240" w:lineRule="auto"/>
            </w:pPr>
            <w:r>
              <w:rPr>
                <w:sz w:val="18"/>
              </w:rPr>
              <w:t>Ispravak vlastitih izvora za obveze</w:t>
            </w:r>
          </w:p>
        </w:tc>
        <w:tc>
          <w:tcPr>
            <w:tcW w:w="700" w:type="dxa"/>
            <w:tcMar>
              <w:top w:w="0" w:type="dxa"/>
              <w:bottom w:w="0" w:type="dxa"/>
            </w:tcMar>
            <w:vAlign w:val="center"/>
          </w:tcPr>
          <w:p w14:paraId="181C7CC0" w14:textId="77777777" w:rsidR="00B8345E" w:rsidRDefault="00000000">
            <w:pPr>
              <w:keepNext/>
              <w:keepLines/>
              <w:spacing w:after="0" w:line="240" w:lineRule="auto"/>
            </w:pPr>
            <w:r>
              <w:rPr>
                <w:sz w:val="18"/>
              </w:rPr>
              <w:t>912</w:t>
            </w:r>
          </w:p>
        </w:tc>
        <w:tc>
          <w:tcPr>
            <w:tcW w:w="1860" w:type="dxa"/>
            <w:tcMar>
              <w:top w:w="0" w:type="dxa"/>
              <w:bottom w:w="0" w:type="dxa"/>
            </w:tcMar>
            <w:vAlign w:val="center"/>
          </w:tcPr>
          <w:p w14:paraId="181C7CC1" w14:textId="77777777" w:rsidR="00B8345E" w:rsidRDefault="00000000">
            <w:pPr>
              <w:keepNext/>
              <w:keepLines/>
              <w:spacing w:after="0" w:line="240" w:lineRule="auto"/>
              <w:jc w:val="right"/>
            </w:pPr>
            <w:r>
              <w:rPr>
                <w:sz w:val="18"/>
              </w:rPr>
              <w:t>1.417.754,65</w:t>
            </w:r>
          </w:p>
        </w:tc>
        <w:tc>
          <w:tcPr>
            <w:tcW w:w="1860" w:type="dxa"/>
            <w:tcMar>
              <w:top w:w="0" w:type="dxa"/>
              <w:bottom w:w="0" w:type="dxa"/>
            </w:tcMar>
            <w:vAlign w:val="center"/>
          </w:tcPr>
          <w:p w14:paraId="181C7CC2" w14:textId="77777777" w:rsidR="00B8345E" w:rsidRDefault="00000000">
            <w:pPr>
              <w:keepNext/>
              <w:keepLines/>
              <w:spacing w:after="0" w:line="240" w:lineRule="auto"/>
              <w:jc w:val="right"/>
            </w:pPr>
            <w:r>
              <w:rPr>
                <w:sz w:val="18"/>
              </w:rPr>
              <w:t>4.938.582,78</w:t>
            </w:r>
          </w:p>
        </w:tc>
        <w:tc>
          <w:tcPr>
            <w:tcW w:w="700" w:type="dxa"/>
            <w:tcMar>
              <w:top w:w="0" w:type="dxa"/>
              <w:bottom w:w="0" w:type="dxa"/>
            </w:tcMar>
            <w:vAlign w:val="center"/>
          </w:tcPr>
          <w:p w14:paraId="181C7CC3" w14:textId="77777777" w:rsidR="00B8345E" w:rsidRDefault="00000000">
            <w:pPr>
              <w:keepNext/>
              <w:keepLines/>
              <w:spacing w:after="0" w:line="240" w:lineRule="auto"/>
              <w:jc w:val="right"/>
            </w:pPr>
            <w:r>
              <w:rPr>
                <w:sz w:val="18"/>
              </w:rPr>
              <w:t>348,3</w:t>
            </w:r>
          </w:p>
        </w:tc>
      </w:tr>
    </w:tbl>
    <w:p w14:paraId="181C7CC5" w14:textId="77777777" w:rsidR="00B8345E" w:rsidRDefault="00B8345E">
      <w:pPr>
        <w:spacing w:after="0"/>
      </w:pPr>
    </w:p>
    <w:p w14:paraId="181C7CC6" w14:textId="77777777" w:rsidR="00B8345E" w:rsidRDefault="00000000">
      <w:r>
        <w:t>BILJEŠKA UZ SKUPINU 912 - ISPRAVAK VLASTITIH IZVORA ZA OBVEZE</w:t>
      </w:r>
      <w:r>
        <w:br/>
        <w:t>1. STANJE I ZNAČENJE Na dan 31.12.2025. godine saldo na računu 91211 (Ispravak izvora vlasništva iz proračuna za obveze) iznosi 4.938.582,78 €. Ovaj račun predstavlja korektivnu stavku vlastitih izvora i odražava knjigovodstvenu protuvrijednost evidentiranih obveza za kredite i zajmove (glavnica). Njegova funkcija je osigurati ravnotežu bilance na način da se vrijednost imovine stečene zaduživanjem "pokrije" kroz izvore vlasništva tek po otplati duga.</w:t>
      </w:r>
      <w:r>
        <w:br/>
        <w:t>2. USKLAĐENOST S OBVEZAMA (SKUPINA 26) Iskazani saldo na kontu 91211 u izravnoj je korelaciji sa stanjem na skupini 26 (Obveze za kredite i zajmove). Tijekom 2025. godine došlo je do značajnog povećanja prometa na ovom kontu (Duguje: 5.964.794,62 € / Potražuje: 2.443.966,45 €), što prati dinamiku korištenja kreditnih sredstava:</w:t>
      </w:r>
      <w:r>
        <w:br/>
        <w:t>• Povećanje (Duguje): Evidentirano je temeljem povlačenja novih tranši dugoročnog kredita (HBOR - Centar za starije) i kratkoročnog zaduženja (Erste banka).</w:t>
      </w:r>
      <w:r>
        <w:br/>
        <w:t>• Smanjenje (Potražuje): Evidentirano je temeljem redovnih otplata glavnice kredita tijekom godine (npr. otplata dijela inozemnog duga i redovne rate tuzemnih kredita).</w:t>
      </w:r>
      <w:r>
        <w:br/>
        <w:t>3. NAPOMENA O USKLAĐENJU Manja razlika koja se može pojaviti u odnosu na analitički zbroj skupine 26 rezultat je tečajnih razlika i prijenosa početnih stanja po novom Računskom planu, a bit će u potpunosti usklađena u sklopu završnih knjiženja u 2026. godini.</w:t>
      </w:r>
    </w:p>
    <w:p w14:paraId="181C7CC7" w14:textId="77777777" w:rsidR="00B8345E" w:rsidRDefault="00B8345E"/>
    <w:p w14:paraId="181C7CC8" w14:textId="77777777" w:rsidR="00B8345E"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C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CC9"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CCA"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CCB"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CCC" w14:textId="77777777" w:rsidR="00B8345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1C7CCD" w14:textId="77777777" w:rsidR="00B8345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1C7CCE" w14:textId="77777777" w:rsidR="00B8345E" w:rsidRDefault="00000000">
            <w:pPr>
              <w:keepNext/>
              <w:keepLines/>
              <w:spacing w:after="0" w:line="240" w:lineRule="auto"/>
              <w:jc w:val="center"/>
            </w:pPr>
            <w:r>
              <w:rPr>
                <w:b/>
                <w:sz w:val="18"/>
              </w:rPr>
              <w:t>Indeks (%)</w:t>
            </w:r>
          </w:p>
        </w:tc>
      </w:tr>
      <w:tr w:rsidR="00B8345E" w14:paraId="181C7CD6" w14:textId="77777777">
        <w:tblPrEx>
          <w:tblCellMar>
            <w:top w:w="0" w:type="dxa"/>
            <w:bottom w:w="0" w:type="dxa"/>
          </w:tblCellMar>
        </w:tblPrEx>
        <w:trPr>
          <w:cantSplit/>
          <w:trHeight w:val="560"/>
        </w:trPr>
        <w:tc>
          <w:tcPr>
            <w:tcW w:w="700" w:type="dxa"/>
            <w:tcMar>
              <w:top w:w="0" w:type="dxa"/>
              <w:bottom w:w="0" w:type="dxa"/>
            </w:tcMar>
            <w:vAlign w:val="center"/>
          </w:tcPr>
          <w:p w14:paraId="181C7CD0" w14:textId="77777777" w:rsidR="00B8345E" w:rsidRDefault="00000000">
            <w:pPr>
              <w:keepNext/>
              <w:keepLines/>
              <w:spacing w:after="0" w:line="240" w:lineRule="auto"/>
            </w:pPr>
            <w:r>
              <w:rPr>
                <w:sz w:val="18"/>
              </w:rPr>
              <w:t>97</w:t>
            </w:r>
          </w:p>
        </w:tc>
        <w:tc>
          <w:tcPr>
            <w:tcW w:w="3180" w:type="dxa"/>
            <w:tcMar>
              <w:top w:w="0" w:type="dxa"/>
              <w:bottom w:w="0" w:type="dxa"/>
            </w:tcMar>
            <w:vAlign w:val="center"/>
          </w:tcPr>
          <w:p w14:paraId="181C7CD1" w14:textId="77777777" w:rsidR="00B8345E" w:rsidRDefault="00000000">
            <w:pPr>
              <w:keepNext/>
              <w:keepLines/>
              <w:spacing w:after="0" w:line="240" w:lineRule="auto"/>
            </w:pPr>
            <w:r>
              <w:rPr>
                <w:sz w:val="18"/>
              </w:rPr>
              <w:t>Obračunati prihodi od prodaje nefinancijske imovine (šifre 971 do 974)</w:t>
            </w:r>
          </w:p>
        </w:tc>
        <w:tc>
          <w:tcPr>
            <w:tcW w:w="700" w:type="dxa"/>
            <w:tcMar>
              <w:top w:w="0" w:type="dxa"/>
              <w:bottom w:w="0" w:type="dxa"/>
            </w:tcMar>
            <w:vAlign w:val="center"/>
          </w:tcPr>
          <w:p w14:paraId="181C7CD2" w14:textId="77777777" w:rsidR="00B8345E" w:rsidRDefault="00000000">
            <w:pPr>
              <w:keepNext/>
              <w:keepLines/>
              <w:spacing w:after="0" w:line="240" w:lineRule="auto"/>
            </w:pPr>
            <w:r>
              <w:rPr>
                <w:sz w:val="18"/>
              </w:rPr>
              <w:t>97</w:t>
            </w:r>
          </w:p>
        </w:tc>
        <w:tc>
          <w:tcPr>
            <w:tcW w:w="1860" w:type="dxa"/>
            <w:tcMar>
              <w:top w:w="0" w:type="dxa"/>
              <w:bottom w:w="0" w:type="dxa"/>
            </w:tcMar>
            <w:vAlign w:val="center"/>
          </w:tcPr>
          <w:p w14:paraId="181C7CD3" w14:textId="77777777" w:rsidR="00B8345E" w:rsidRDefault="00000000">
            <w:pPr>
              <w:keepNext/>
              <w:keepLines/>
              <w:spacing w:after="0" w:line="240" w:lineRule="auto"/>
              <w:jc w:val="right"/>
            </w:pPr>
            <w:r>
              <w:rPr>
                <w:sz w:val="18"/>
              </w:rPr>
              <w:t>21.693,51</w:t>
            </w:r>
          </w:p>
        </w:tc>
        <w:tc>
          <w:tcPr>
            <w:tcW w:w="1860" w:type="dxa"/>
            <w:tcMar>
              <w:top w:w="0" w:type="dxa"/>
              <w:bottom w:w="0" w:type="dxa"/>
            </w:tcMar>
            <w:vAlign w:val="center"/>
          </w:tcPr>
          <w:p w14:paraId="181C7CD4" w14:textId="77777777" w:rsidR="00B8345E" w:rsidRDefault="00000000">
            <w:pPr>
              <w:keepNext/>
              <w:keepLines/>
              <w:spacing w:after="0" w:line="240" w:lineRule="auto"/>
              <w:jc w:val="right"/>
            </w:pPr>
            <w:r>
              <w:rPr>
                <w:sz w:val="18"/>
              </w:rPr>
              <w:t>879.478,15</w:t>
            </w:r>
          </w:p>
        </w:tc>
        <w:tc>
          <w:tcPr>
            <w:tcW w:w="700" w:type="dxa"/>
            <w:tcMar>
              <w:top w:w="0" w:type="dxa"/>
              <w:bottom w:w="0" w:type="dxa"/>
            </w:tcMar>
            <w:vAlign w:val="center"/>
          </w:tcPr>
          <w:p w14:paraId="181C7CD5" w14:textId="77777777" w:rsidR="00B8345E" w:rsidRDefault="00000000">
            <w:pPr>
              <w:keepNext/>
              <w:keepLines/>
              <w:spacing w:after="0" w:line="240" w:lineRule="auto"/>
              <w:jc w:val="right"/>
            </w:pPr>
            <w:r>
              <w:rPr>
                <w:sz w:val="18"/>
              </w:rPr>
              <w:t>4054,1</w:t>
            </w:r>
          </w:p>
        </w:tc>
      </w:tr>
    </w:tbl>
    <w:p w14:paraId="181C7CD7" w14:textId="77777777" w:rsidR="00B8345E" w:rsidRDefault="00B8345E">
      <w:pPr>
        <w:spacing w:after="0"/>
      </w:pPr>
    </w:p>
    <w:p w14:paraId="181C7CD8" w14:textId="77777777" w:rsidR="00B8345E" w:rsidRDefault="00000000">
      <w:r>
        <w:t>BILJEŠKA UZ SKUPINU 97 - OBRAČUNATI PRIHODI OD PRODAJE NEFINANCIJSKE IMOVINE</w:t>
      </w:r>
      <w:r>
        <w:br/>
        <w:t xml:space="preserve">1. STANJE I STRUKTURA Na dan 31.12.2025. godine saldo na skupini 97 iznosi 879.478,15 €. Ovaj iznos predstavlja </w:t>
      </w:r>
      <w:proofErr w:type="spellStart"/>
      <w:r>
        <w:t>protustavku</w:t>
      </w:r>
      <w:proofErr w:type="spellEnd"/>
      <w:r>
        <w:t xml:space="preserve"> evidentiranim, a nenaplaćenim potraživanjima za prodanu imovinu. Budući da se prihodi od prodaje imovine (Razred 7) priznaju isključivo u trenutku naplate novčanih sredstava, ovaj saldo odražava "prihode na čekanju" koji će biti priznati u budućim razdobljima po dospijeću naplate.</w:t>
      </w:r>
      <w:r>
        <w:br/>
        <w:t>2. ANALITIČKA STRUKTURA (Što čini taj iznos?)</w:t>
      </w:r>
      <w:r>
        <w:br/>
        <w:t>• 97111 - Obračunati prihodi od prodaje zemljišta (873.286,09 €): Najznačajnija stavka odnosi se na prodano građevinsko zemljište za koje je ugovorena obročna otplata. Iznos je u direktnoj korelaciji s potraživanjima na kontu 17111. Napomena o usklađenju: Vidljivo je da je na ovom kontu provedeno knjiženje "Ispravak VP" u iznosu od 17.430,00 €. To ukazuje da je saldo obračunatih prihoda (97) usklađen s neto vrijednošću potraživanja (potraživanje 171 umanjeno za ispravak vrijednosti 179), čime se realno iskazuje očekivani budući priljev.</w:t>
      </w:r>
      <w:r>
        <w:br/>
        <w:t>• 97214 - Obračunati prihodi od prodaje ostalih građevinskih objekata (6.192,06 €): Ostatak salda odnosi se na prodane građevinske objekte (poslovni prostori/stanovi) čija naplata dospijeva u narednom razdoblju.</w:t>
      </w:r>
    </w:p>
    <w:p w14:paraId="181C7CD9" w14:textId="77777777" w:rsidR="00B8345E" w:rsidRDefault="00B8345E"/>
    <w:p w14:paraId="181C7CDA" w14:textId="77777777" w:rsidR="00B8345E" w:rsidRDefault="00000000">
      <w:pPr>
        <w:keepNext/>
        <w:spacing w:line="240" w:lineRule="auto"/>
        <w:jc w:val="center"/>
      </w:pPr>
      <w:r>
        <w:rPr>
          <w:b/>
          <w:sz w:val="28"/>
        </w:rPr>
        <w:t>Izvještaj o rashodima prema funkcijskoj klasifikaciji</w:t>
      </w:r>
    </w:p>
    <w:p w14:paraId="181C7CDB" w14:textId="77777777" w:rsidR="00B8345E"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C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CDC"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CDD"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CDE"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CDF" w14:textId="77777777" w:rsidR="00B8345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1C7CE0" w14:textId="77777777" w:rsidR="00B8345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1C7CE1" w14:textId="77777777" w:rsidR="00B8345E" w:rsidRDefault="00000000">
            <w:pPr>
              <w:keepNext/>
              <w:keepLines/>
              <w:spacing w:after="0" w:line="240" w:lineRule="auto"/>
              <w:jc w:val="center"/>
            </w:pPr>
            <w:r>
              <w:rPr>
                <w:b/>
                <w:sz w:val="18"/>
              </w:rPr>
              <w:t>Indeks (%)</w:t>
            </w:r>
          </w:p>
        </w:tc>
      </w:tr>
      <w:tr w:rsidR="00B8345E" w14:paraId="181C7CE9" w14:textId="77777777">
        <w:tblPrEx>
          <w:tblCellMar>
            <w:top w:w="0" w:type="dxa"/>
            <w:bottom w:w="0" w:type="dxa"/>
          </w:tblCellMar>
        </w:tblPrEx>
        <w:trPr>
          <w:cantSplit/>
          <w:trHeight w:val="560"/>
        </w:trPr>
        <w:tc>
          <w:tcPr>
            <w:tcW w:w="700" w:type="dxa"/>
            <w:tcMar>
              <w:top w:w="0" w:type="dxa"/>
              <w:bottom w:w="0" w:type="dxa"/>
            </w:tcMar>
            <w:vAlign w:val="center"/>
          </w:tcPr>
          <w:p w14:paraId="181C7CE3" w14:textId="77777777" w:rsidR="00B8345E" w:rsidRDefault="00B8345E">
            <w:pPr>
              <w:keepNext/>
              <w:keepLines/>
              <w:spacing w:after="0" w:line="240" w:lineRule="auto"/>
            </w:pPr>
          </w:p>
        </w:tc>
        <w:tc>
          <w:tcPr>
            <w:tcW w:w="3180" w:type="dxa"/>
            <w:tcMar>
              <w:top w:w="0" w:type="dxa"/>
              <w:bottom w:w="0" w:type="dxa"/>
            </w:tcMar>
            <w:vAlign w:val="center"/>
          </w:tcPr>
          <w:p w14:paraId="181C7CE4" w14:textId="77777777" w:rsidR="00B8345E"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181C7CE5" w14:textId="77777777" w:rsidR="00B8345E" w:rsidRDefault="00000000">
            <w:pPr>
              <w:keepNext/>
              <w:keepLines/>
              <w:spacing w:after="0" w:line="240" w:lineRule="auto"/>
            </w:pPr>
            <w:r>
              <w:rPr>
                <w:sz w:val="18"/>
              </w:rPr>
              <w:t>R1</w:t>
            </w:r>
          </w:p>
        </w:tc>
        <w:tc>
          <w:tcPr>
            <w:tcW w:w="1860" w:type="dxa"/>
            <w:tcMar>
              <w:top w:w="0" w:type="dxa"/>
              <w:bottom w:w="0" w:type="dxa"/>
            </w:tcMar>
            <w:vAlign w:val="center"/>
          </w:tcPr>
          <w:p w14:paraId="181C7CE6" w14:textId="77777777" w:rsidR="00B8345E" w:rsidRDefault="00000000">
            <w:pPr>
              <w:keepNext/>
              <w:keepLines/>
              <w:spacing w:after="0" w:line="240" w:lineRule="auto"/>
              <w:jc w:val="right"/>
            </w:pPr>
            <w:r>
              <w:rPr>
                <w:sz w:val="18"/>
              </w:rPr>
              <w:t>7.014.001,17</w:t>
            </w:r>
          </w:p>
        </w:tc>
        <w:tc>
          <w:tcPr>
            <w:tcW w:w="1860" w:type="dxa"/>
            <w:tcMar>
              <w:top w:w="0" w:type="dxa"/>
              <w:bottom w:w="0" w:type="dxa"/>
            </w:tcMar>
            <w:vAlign w:val="center"/>
          </w:tcPr>
          <w:p w14:paraId="181C7CE7" w14:textId="77777777" w:rsidR="00B8345E" w:rsidRDefault="00000000">
            <w:pPr>
              <w:keepNext/>
              <w:keepLines/>
              <w:spacing w:after="0" w:line="240" w:lineRule="auto"/>
              <w:jc w:val="right"/>
            </w:pPr>
            <w:r>
              <w:rPr>
                <w:sz w:val="18"/>
              </w:rPr>
              <w:t>14.643.343,19</w:t>
            </w:r>
          </w:p>
        </w:tc>
        <w:tc>
          <w:tcPr>
            <w:tcW w:w="700" w:type="dxa"/>
            <w:tcMar>
              <w:top w:w="0" w:type="dxa"/>
              <w:bottom w:w="0" w:type="dxa"/>
            </w:tcMar>
            <w:vAlign w:val="center"/>
          </w:tcPr>
          <w:p w14:paraId="181C7CE8" w14:textId="77777777" w:rsidR="00B8345E" w:rsidRDefault="00000000">
            <w:pPr>
              <w:keepNext/>
              <w:keepLines/>
              <w:spacing w:after="0" w:line="240" w:lineRule="auto"/>
              <w:jc w:val="right"/>
            </w:pPr>
            <w:r>
              <w:rPr>
                <w:sz w:val="18"/>
              </w:rPr>
              <w:t>208,8</w:t>
            </w:r>
          </w:p>
        </w:tc>
      </w:tr>
    </w:tbl>
    <w:p w14:paraId="181C7CEA" w14:textId="77777777" w:rsidR="00B8345E" w:rsidRDefault="00B8345E">
      <w:pPr>
        <w:spacing w:after="0"/>
      </w:pPr>
    </w:p>
    <w:p w14:paraId="181C7CEB" w14:textId="77777777" w:rsidR="00B8345E" w:rsidRDefault="00000000">
      <w:r>
        <w:t>BILJEŠKA UZ RAS-FUNKCIJSKI (OBRAZLOŽENJE PO FUNKCIJAMA)</w:t>
      </w:r>
      <w:r>
        <w:br/>
        <w:t>1. USKLAĐENOST S PR-RAS OBRASCEM Podaci iskazani u Izvještaju o rashodima prema funkcijskoj klasifikaciji u potpunosti su usklađeni s podacima o rashodima poslovanja (razred 3) i rashodima za nabavu nefinancijske imovine (razred 4) iskazanim u obrascu PR-RAS.</w:t>
      </w:r>
      <w:r>
        <w:br/>
        <w:t>2. OBRAZLOŽENJE ZNAČAJNIH PROMJENA PO FUNKCIJAMA Do značajnog povećanja rashoda na pojedinim funkcijama došlo je uslijed realizacije ključnih EU projekata opisanih u bilješkama uz PR-RAS:</w:t>
      </w:r>
      <w:r>
        <w:br/>
        <w:t xml:space="preserve">• Funkcija 10 - Socijalna zaštita: Zabilježen je značajan rast uslijed evidentiranja kapitalnih rashoda za izgradnju "Centra za starije i nemoćne osobe" (NPOO) te rashoda za zaposlene na </w:t>
      </w:r>
      <w:r>
        <w:lastRenderedPageBreak/>
        <w:t>projektu "Zaželi - faza IV". Ovi rashodi su u funkciji pružanja socijalne skrbi i pomoći starijim i nemoćnim osobama.</w:t>
      </w:r>
      <w:r>
        <w:br/>
        <w:t>• Funkcija 09 - Obrazovanje: Povećanje se odnosi na kapitalne rashode za izgradnju/rekonstrukciju Dječjeg vrtića "</w:t>
      </w:r>
      <w:proofErr w:type="spellStart"/>
      <w:r>
        <w:t>Cvitić</w:t>
      </w:r>
      <w:proofErr w:type="spellEnd"/>
      <w:r>
        <w:t xml:space="preserve">" </w:t>
      </w:r>
      <w:proofErr w:type="spellStart"/>
      <w:r>
        <w:t>Turanj</w:t>
      </w:r>
      <w:proofErr w:type="spellEnd"/>
      <w:r>
        <w:t xml:space="preserve"> te redovno financiranje predškolskog odgoja.</w:t>
      </w:r>
      <w:r>
        <w:br/>
        <w:t>• Funkcija 06 - Usluge unapređenja stanovanja i zajednice: Rashodi se odnose na pojačano investicijsko održavanje komunalne infrastrukture i javne rasvjete.</w:t>
      </w:r>
    </w:p>
    <w:p w14:paraId="181C7CEC" w14:textId="77777777" w:rsidR="00B8345E" w:rsidRDefault="00B8345E"/>
    <w:p w14:paraId="181C7CED" w14:textId="77777777" w:rsidR="00B8345E" w:rsidRDefault="00000000">
      <w:pPr>
        <w:keepNext/>
        <w:spacing w:line="240" w:lineRule="auto"/>
        <w:jc w:val="center"/>
      </w:pPr>
      <w:r>
        <w:rPr>
          <w:b/>
          <w:sz w:val="28"/>
        </w:rPr>
        <w:t>Promjene u vrijednosti i obujmu imovine i obveza</w:t>
      </w:r>
    </w:p>
    <w:p w14:paraId="181C7CEE" w14:textId="77777777" w:rsidR="00B8345E"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8345E" w14:paraId="181C7C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CEF"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CF0"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CF1"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CF2" w14:textId="77777777" w:rsidR="00B8345E"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81C7CF3" w14:textId="77777777" w:rsidR="00B8345E"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81C7CF4" w14:textId="77777777" w:rsidR="00B8345E" w:rsidRDefault="00000000">
            <w:pPr>
              <w:keepNext/>
              <w:keepLines/>
              <w:spacing w:after="0" w:line="240" w:lineRule="auto"/>
              <w:jc w:val="center"/>
            </w:pPr>
            <w:r>
              <w:rPr>
                <w:b/>
                <w:sz w:val="18"/>
              </w:rPr>
              <w:t>Indeks (%)</w:t>
            </w:r>
          </w:p>
        </w:tc>
      </w:tr>
      <w:tr w:rsidR="00B8345E" w14:paraId="181C7CFC" w14:textId="77777777">
        <w:tblPrEx>
          <w:tblCellMar>
            <w:top w:w="0" w:type="dxa"/>
            <w:bottom w:w="0" w:type="dxa"/>
          </w:tblCellMar>
        </w:tblPrEx>
        <w:trPr>
          <w:cantSplit/>
          <w:trHeight w:val="560"/>
        </w:trPr>
        <w:tc>
          <w:tcPr>
            <w:tcW w:w="700" w:type="dxa"/>
            <w:tcMar>
              <w:top w:w="0" w:type="dxa"/>
              <w:bottom w:w="0" w:type="dxa"/>
            </w:tcMar>
            <w:vAlign w:val="center"/>
          </w:tcPr>
          <w:p w14:paraId="181C7CF6" w14:textId="77777777" w:rsidR="00B8345E" w:rsidRDefault="00000000">
            <w:pPr>
              <w:keepNext/>
              <w:keepLines/>
              <w:spacing w:after="0" w:line="240" w:lineRule="auto"/>
            </w:pPr>
            <w:r>
              <w:rPr>
                <w:sz w:val="18"/>
              </w:rPr>
              <w:t>91511</w:t>
            </w:r>
          </w:p>
        </w:tc>
        <w:tc>
          <w:tcPr>
            <w:tcW w:w="3180" w:type="dxa"/>
            <w:tcMar>
              <w:top w:w="0" w:type="dxa"/>
              <w:bottom w:w="0" w:type="dxa"/>
            </w:tcMar>
            <w:vAlign w:val="center"/>
          </w:tcPr>
          <w:p w14:paraId="181C7CF7" w14:textId="77777777" w:rsidR="00B8345E"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181C7CF8" w14:textId="77777777" w:rsidR="00B8345E" w:rsidRDefault="00000000">
            <w:pPr>
              <w:keepNext/>
              <w:keepLines/>
              <w:spacing w:after="0" w:line="240" w:lineRule="auto"/>
            </w:pPr>
            <w:r>
              <w:rPr>
                <w:sz w:val="18"/>
              </w:rPr>
              <w:t>91511</w:t>
            </w:r>
          </w:p>
        </w:tc>
        <w:tc>
          <w:tcPr>
            <w:tcW w:w="1860" w:type="dxa"/>
            <w:tcMar>
              <w:top w:w="0" w:type="dxa"/>
              <w:bottom w:w="0" w:type="dxa"/>
            </w:tcMar>
            <w:vAlign w:val="center"/>
          </w:tcPr>
          <w:p w14:paraId="181C7CF9" w14:textId="77777777" w:rsidR="00B8345E" w:rsidRDefault="00000000">
            <w:pPr>
              <w:keepNext/>
              <w:keepLines/>
              <w:spacing w:after="0" w:line="240" w:lineRule="auto"/>
              <w:jc w:val="right"/>
            </w:pPr>
            <w:r>
              <w:rPr>
                <w:sz w:val="18"/>
              </w:rPr>
              <w:t>0,00</w:t>
            </w:r>
          </w:p>
        </w:tc>
        <w:tc>
          <w:tcPr>
            <w:tcW w:w="1860" w:type="dxa"/>
            <w:tcMar>
              <w:top w:w="0" w:type="dxa"/>
              <w:bottom w:w="0" w:type="dxa"/>
            </w:tcMar>
            <w:vAlign w:val="center"/>
          </w:tcPr>
          <w:p w14:paraId="181C7CFA" w14:textId="77777777" w:rsidR="00B8345E" w:rsidRDefault="00000000">
            <w:pPr>
              <w:keepNext/>
              <w:keepLines/>
              <w:spacing w:after="0" w:line="240" w:lineRule="auto"/>
              <w:jc w:val="right"/>
            </w:pPr>
            <w:r>
              <w:rPr>
                <w:sz w:val="18"/>
              </w:rPr>
              <w:t>3.084.683,73</w:t>
            </w:r>
          </w:p>
        </w:tc>
        <w:tc>
          <w:tcPr>
            <w:tcW w:w="700" w:type="dxa"/>
            <w:tcMar>
              <w:top w:w="0" w:type="dxa"/>
              <w:bottom w:w="0" w:type="dxa"/>
            </w:tcMar>
            <w:vAlign w:val="center"/>
          </w:tcPr>
          <w:p w14:paraId="181C7CFB" w14:textId="77777777" w:rsidR="00B8345E" w:rsidRDefault="00000000">
            <w:pPr>
              <w:keepNext/>
              <w:keepLines/>
              <w:spacing w:after="0" w:line="240" w:lineRule="auto"/>
              <w:jc w:val="right"/>
            </w:pPr>
            <w:r>
              <w:rPr>
                <w:sz w:val="18"/>
              </w:rPr>
              <w:t>-</w:t>
            </w:r>
          </w:p>
        </w:tc>
      </w:tr>
    </w:tbl>
    <w:p w14:paraId="181C7CFD" w14:textId="77777777" w:rsidR="00B8345E" w:rsidRDefault="00B8345E">
      <w:pPr>
        <w:spacing w:after="0"/>
      </w:pPr>
    </w:p>
    <w:p w14:paraId="181C7CFE" w14:textId="77777777" w:rsidR="00B8345E" w:rsidRDefault="00000000">
      <w:r>
        <w:t>1. PROMJENE U VRIJEDNOSTI IMOVINE (91511) Na poziciji P001 (Promjene u vrijednosti nefinancijske imovine) iskazan je iznos od 3.084.683,73 €. Ovaj iznos odnosi se na redovan godišnji obračun ispravka vrijednosti (amortizacije) dugotrajne imovine za 2025. godinu. Sukladno članku 192. Pravilnika o proračunskom računovodstvu, obračunata amortizacija na teret izvora vlasništva (konto 911) evidentira se preko računa promjena u vrijednosti (skupina 915), što rezultira smanjenjem knjigovodstvene vrijednosti imovine, ali ne predstavlja novčani izdatak</w:t>
      </w:r>
    </w:p>
    <w:p w14:paraId="181C7CFF" w14:textId="77777777" w:rsidR="00B8345E" w:rsidRDefault="00B8345E"/>
    <w:p w14:paraId="181C7D00" w14:textId="77777777" w:rsidR="00B8345E" w:rsidRDefault="00000000">
      <w:pPr>
        <w:keepNext/>
        <w:spacing w:line="240" w:lineRule="auto"/>
        <w:jc w:val="center"/>
      </w:pPr>
      <w:r>
        <w:rPr>
          <w:b/>
          <w:sz w:val="28"/>
        </w:rPr>
        <w:t>Izvještaj o obvezama</w:t>
      </w:r>
    </w:p>
    <w:p w14:paraId="181C7D01" w14:textId="77777777" w:rsidR="00B8345E"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8345E" w14:paraId="181C7D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D02"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D03"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D04"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D05" w14:textId="77777777" w:rsidR="00B8345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81C7D06" w14:textId="77777777" w:rsidR="00B8345E" w:rsidRDefault="00000000">
            <w:pPr>
              <w:keepNext/>
              <w:keepLines/>
              <w:spacing w:after="0" w:line="240" w:lineRule="auto"/>
              <w:jc w:val="center"/>
            </w:pPr>
            <w:r>
              <w:rPr>
                <w:b/>
                <w:sz w:val="18"/>
              </w:rPr>
              <w:t>Indeks (%)</w:t>
            </w:r>
          </w:p>
        </w:tc>
      </w:tr>
      <w:tr w:rsidR="00B8345E" w14:paraId="181C7D0D" w14:textId="77777777">
        <w:tblPrEx>
          <w:tblCellMar>
            <w:top w:w="0" w:type="dxa"/>
            <w:bottom w:w="0" w:type="dxa"/>
          </w:tblCellMar>
        </w:tblPrEx>
        <w:trPr>
          <w:cantSplit/>
          <w:trHeight w:val="560"/>
        </w:trPr>
        <w:tc>
          <w:tcPr>
            <w:tcW w:w="700" w:type="dxa"/>
            <w:tcMar>
              <w:top w:w="0" w:type="dxa"/>
              <w:bottom w:w="0" w:type="dxa"/>
            </w:tcMar>
            <w:vAlign w:val="center"/>
          </w:tcPr>
          <w:p w14:paraId="181C7D08" w14:textId="77777777" w:rsidR="00B8345E" w:rsidRDefault="00000000">
            <w:pPr>
              <w:keepNext/>
              <w:keepLines/>
              <w:spacing w:after="0" w:line="240" w:lineRule="auto"/>
            </w:pPr>
            <w:r>
              <w:rPr>
                <w:sz w:val="18"/>
              </w:rPr>
              <w:t>27</w:t>
            </w:r>
          </w:p>
        </w:tc>
        <w:tc>
          <w:tcPr>
            <w:tcW w:w="3180" w:type="dxa"/>
            <w:tcMar>
              <w:top w:w="0" w:type="dxa"/>
              <w:bottom w:w="0" w:type="dxa"/>
            </w:tcMar>
            <w:vAlign w:val="center"/>
          </w:tcPr>
          <w:p w14:paraId="181C7D09" w14:textId="77777777" w:rsidR="00B8345E"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181C7D0A" w14:textId="77777777" w:rsidR="00B8345E" w:rsidRDefault="00000000">
            <w:pPr>
              <w:keepNext/>
              <w:keepLines/>
              <w:spacing w:after="0" w:line="240" w:lineRule="auto"/>
            </w:pPr>
            <w:r>
              <w:rPr>
                <w:sz w:val="18"/>
              </w:rPr>
              <w:t>P27</w:t>
            </w:r>
          </w:p>
        </w:tc>
        <w:tc>
          <w:tcPr>
            <w:tcW w:w="1860" w:type="dxa"/>
            <w:tcMar>
              <w:top w:w="0" w:type="dxa"/>
              <w:bottom w:w="0" w:type="dxa"/>
            </w:tcMar>
            <w:vAlign w:val="center"/>
          </w:tcPr>
          <w:p w14:paraId="181C7D0B" w14:textId="77777777" w:rsidR="00B8345E" w:rsidRDefault="00000000">
            <w:pPr>
              <w:keepNext/>
              <w:keepLines/>
              <w:spacing w:after="0" w:line="240" w:lineRule="auto"/>
              <w:jc w:val="right"/>
            </w:pPr>
            <w:r>
              <w:rPr>
                <w:sz w:val="18"/>
              </w:rPr>
              <w:t>507.844,23</w:t>
            </w:r>
          </w:p>
        </w:tc>
        <w:tc>
          <w:tcPr>
            <w:tcW w:w="700" w:type="dxa"/>
            <w:tcMar>
              <w:top w:w="0" w:type="dxa"/>
              <w:bottom w:w="0" w:type="dxa"/>
            </w:tcMar>
            <w:vAlign w:val="center"/>
          </w:tcPr>
          <w:p w14:paraId="181C7D0C" w14:textId="77777777" w:rsidR="00B8345E" w:rsidRDefault="00000000">
            <w:pPr>
              <w:keepNext/>
              <w:keepLines/>
              <w:spacing w:after="0" w:line="240" w:lineRule="auto"/>
              <w:jc w:val="right"/>
            </w:pPr>
            <w:r>
              <w:rPr>
                <w:sz w:val="18"/>
              </w:rPr>
              <w:t>-</w:t>
            </w:r>
          </w:p>
        </w:tc>
      </w:tr>
    </w:tbl>
    <w:p w14:paraId="181C7D0E" w14:textId="77777777" w:rsidR="00B8345E" w:rsidRDefault="00B8345E">
      <w:pPr>
        <w:spacing w:after="0"/>
      </w:pPr>
    </w:p>
    <w:p w14:paraId="181C7D0F" w14:textId="77777777" w:rsidR="00B8345E" w:rsidRDefault="00000000">
      <w:r>
        <w:t>Struktura obveza u skupini 27: Saldo na ovoj poziciji ne predstavlja dospjelu obvezu koja zahtijeva odljev novca, već se odnosi na:</w:t>
      </w:r>
      <w:r>
        <w:br/>
        <w:t>1. Više uplaćene prihode (Preplate): Značajan dio iznosa čine preplate građana i pravnih osoba po osnovi Komunalne naknade i Poreza na kuće za odmor (vidljivo u analitičkoj evidenciji kartica kupaca), koje će se zatvoriti budućim zaduženjima u 2026. godini.</w:t>
      </w:r>
      <w:r>
        <w:br/>
        <w:t xml:space="preserve">2. </w:t>
      </w:r>
      <w:proofErr w:type="spellStart"/>
      <w:r>
        <w:t>Jamčevni</w:t>
      </w:r>
      <w:proofErr w:type="spellEnd"/>
      <w:r>
        <w:t xml:space="preserve"> </w:t>
      </w:r>
      <w:proofErr w:type="spellStart"/>
      <w:r>
        <w:t>polozi</w:t>
      </w:r>
      <w:proofErr w:type="spellEnd"/>
      <w:r>
        <w:t>: Primljena sredstva osiguranja za uredno izvršenje ugovora koja se vraćaju po završetku ugovornih obveza ili se prihoduju u slučaju neizvršenja. Navedene stavke nemaju negativan utjecaj na tekuću likvidnost Općine.</w:t>
      </w:r>
    </w:p>
    <w:p w14:paraId="181C7D10" w14:textId="77777777" w:rsidR="00B8345E" w:rsidRDefault="00B8345E"/>
    <w:p w14:paraId="181C7D11" w14:textId="77777777" w:rsidR="00B8345E"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8345E" w14:paraId="181C7D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D12"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D13"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D14"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D15" w14:textId="77777777" w:rsidR="00B8345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81C7D16" w14:textId="77777777" w:rsidR="00B8345E" w:rsidRDefault="00000000">
            <w:pPr>
              <w:keepNext/>
              <w:keepLines/>
              <w:spacing w:after="0" w:line="240" w:lineRule="auto"/>
              <w:jc w:val="center"/>
            </w:pPr>
            <w:r>
              <w:rPr>
                <w:b/>
                <w:sz w:val="18"/>
              </w:rPr>
              <w:t>Indeks (%)</w:t>
            </w:r>
          </w:p>
        </w:tc>
      </w:tr>
      <w:tr w:rsidR="00B8345E" w14:paraId="181C7D1D" w14:textId="77777777">
        <w:tblPrEx>
          <w:tblCellMar>
            <w:top w:w="0" w:type="dxa"/>
            <w:bottom w:w="0" w:type="dxa"/>
          </w:tblCellMar>
        </w:tblPrEx>
        <w:trPr>
          <w:cantSplit/>
          <w:trHeight w:val="560"/>
        </w:trPr>
        <w:tc>
          <w:tcPr>
            <w:tcW w:w="700" w:type="dxa"/>
            <w:tcMar>
              <w:top w:w="0" w:type="dxa"/>
              <w:bottom w:w="0" w:type="dxa"/>
            </w:tcMar>
            <w:vAlign w:val="center"/>
          </w:tcPr>
          <w:p w14:paraId="181C7D18" w14:textId="77777777" w:rsidR="00B8345E" w:rsidRDefault="00B8345E">
            <w:pPr>
              <w:keepNext/>
              <w:keepLines/>
              <w:spacing w:after="0" w:line="240" w:lineRule="auto"/>
            </w:pPr>
          </w:p>
        </w:tc>
        <w:tc>
          <w:tcPr>
            <w:tcW w:w="3180" w:type="dxa"/>
            <w:tcMar>
              <w:top w:w="0" w:type="dxa"/>
              <w:bottom w:w="0" w:type="dxa"/>
            </w:tcMar>
            <w:vAlign w:val="center"/>
          </w:tcPr>
          <w:p w14:paraId="181C7D19" w14:textId="77777777" w:rsidR="00B8345E"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81C7D1A" w14:textId="77777777" w:rsidR="00B8345E" w:rsidRDefault="00000000">
            <w:pPr>
              <w:keepNext/>
              <w:keepLines/>
              <w:spacing w:after="0" w:line="240" w:lineRule="auto"/>
            </w:pPr>
            <w:r>
              <w:rPr>
                <w:sz w:val="18"/>
              </w:rPr>
              <w:t>V007</w:t>
            </w:r>
          </w:p>
        </w:tc>
        <w:tc>
          <w:tcPr>
            <w:tcW w:w="1860" w:type="dxa"/>
            <w:tcMar>
              <w:top w:w="0" w:type="dxa"/>
              <w:bottom w:w="0" w:type="dxa"/>
            </w:tcMar>
            <w:vAlign w:val="center"/>
          </w:tcPr>
          <w:p w14:paraId="181C7D1B" w14:textId="77777777" w:rsidR="00B8345E" w:rsidRDefault="00000000">
            <w:pPr>
              <w:keepNext/>
              <w:keepLines/>
              <w:spacing w:after="0" w:line="240" w:lineRule="auto"/>
              <w:jc w:val="right"/>
            </w:pPr>
            <w:r>
              <w:rPr>
                <w:sz w:val="18"/>
              </w:rPr>
              <w:t>670.545,57</w:t>
            </w:r>
          </w:p>
        </w:tc>
        <w:tc>
          <w:tcPr>
            <w:tcW w:w="700" w:type="dxa"/>
            <w:tcMar>
              <w:top w:w="0" w:type="dxa"/>
              <w:bottom w:w="0" w:type="dxa"/>
            </w:tcMar>
            <w:vAlign w:val="center"/>
          </w:tcPr>
          <w:p w14:paraId="181C7D1C" w14:textId="77777777" w:rsidR="00B8345E" w:rsidRDefault="00000000">
            <w:pPr>
              <w:keepNext/>
              <w:keepLines/>
              <w:spacing w:after="0" w:line="240" w:lineRule="auto"/>
              <w:jc w:val="right"/>
            </w:pPr>
            <w:r>
              <w:rPr>
                <w:sz w:val="18"/>
              </w:rPr>
              <w:t>-</w:t>
            </w:r>
          </w:p>
        </w:tc>
      </w:tr>
    </w:tbl>
    <w:p w14:paraId="181C7D1E" w14:textId="77777777" w:rsidR="00B8345E" w:rsidRDefault="00B8345E">
      <w:pPr>
        <w:spacing w:after="0"/>
      </w:pPr>
    </w:p>
    <w:p w14:paraId="181C7D1F" w14:textId="77777777" w:rsidR="00B8345E" w:rsidRDefault="00000000">
      <w:r>
        <w:t>Stanje dospjelih obveza na dan 31.12.2025. Na dan 31.12.2025. iskazane su dospjele, a nepodmirene obveze u iznosu od 670.545,57 €.</w:t>
      </w:r>
      <w:r>
        <w:br/>
        <w:t>Struktura i uzroci dospijeća:</w:t>
      </w:r>
      <w:r>
        <w:br/>
        <w:t>1. Kapitalni projekti (EU sredstva): Najveći dio dospjelih obveza odnosi se na privremene situacije za izvedene radove na EU projektima ("Centar za starije i nemoćne osobe", "Dječji vrtić"), koje su dospjele na naplatu potkraj godine. Plaćanje ovih obveza planirano je sukladno dinamici priljeva sredstava pomoći (po ovjeri ZNS-ova), što je uzrokovalo privremeno prekoračenje valute plaćanja.</w:t>
      </w:r>
      <w:r>
        <w:br/>
        <w:t>2. Redovno poslovanje: Dio obveza odnosi se na rashode za javnu rasvjetu, usluge tekućeg i investicijskog održavanja te ostale materijalne rashode dospjele u prosincu 2025. godine.</w:t>
      </w:r>
      <w:r>
        <w:br/>
        <w:t xml:space="preserve">3. Privremena klasifikacija: U iznos dospjelih obveza uključen je i manji dio neraspoređenih priljeva/odljeva s prijelaznih računa (konto 239) koji su privremeno evidentirani radi zatvaranja poslovne godine, a bit će </w:t>
      </w:r>
      <w:proofErr w:type="spellStart"/>
      <w:r>
        <w:t>reklasificirani</w:t>
      </w:r>
      <w:proofErr w:type="spellEnd"/>
      <w:r>
        <w:t xml:space="preserve"> u 2026. godini.</w:t>
      </w:r>
      <w:r>
        <w:br/>
        <w:t>Status podmirenja: Značajan dio navedenih obveza podmiren je u siječnju 2026. godine priljevom fiskalnih prihoda i decentraliziranih sredstava.</w:t>
      </w:r>
    </w:p>
    <w:p w14:paraId="181C7D20" w14:textId="77777777" w:rsidR="00B8345E" w:rsidRDefault="00B8345E"/>
    <w:p w14:paraId="181C7D21" w14:textId="77777777" w:rsidR="00B8345E"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8345E" w14:paraId="181C7D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D22"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D23"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D24"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D25" w14:textId="77777777" w:rsidR="00B8345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81C7D26" w14:textId="77777777" w:rsidR="00B8345E" w:rsidRDefault="00000000">
            <w:pPr>
              <w:keepNext/>
              <w:keepLines/>
              <w:spacing w:after="0" w:line="240" w:lineRule="auto"/>
              <w:jc w:val="center"/>
            </w:pPr>
            <w:r>
              <w:rPr>
                <w:b/>
                <w:sz w:val="18"/>
              </w:rPr>
              <w:t>Indeks (%)</w:t>
            </w:r>
          </w:p>
        </w:tc>
      </w:tr>
      <w:tr w:rsidR="00B8345E" w14:paraId="181C7D2D" w14:textId="77777777">
        <w:tblPrEx>
          <w:tblCellMar>
            <w:top w:w="0" w:type="dxa"/>
            <w:bottom w:w="0" w:type="dxa"/>
          </w:tblCellMar>
        </w:tblPrEx>
        <w:trPr>
          <w:cantSplit/>
          <w:trHeight w:val="560"/>
        </w:trPr>
        <w:tc>
          <w:tcPr>
            <w:tcW w:w="700" w:type="dxa"/>
            <w:tcMar>
              <w:top w:w="0" w:type="dxa"/>
              <w:bottom w:w="0" w:type="dxa"/>
            </w:tcMar>
            <w:vAlign w:val="center"/>
          </w:tcPr>
          <w:p w14:paraId="181C7D28" w14:textId="77777777" w:rsidR="00B8345E" w:rsidRDefault="00000000">
            <w:pPr>
              <w:keepNext/>
              <w:keepLines/>
              <w:spacing w:after="0" w:line="240" w:lineRule="auto"/>
            </w:pPr>
            <w:r>
              <w:rPr>
                <w:sz w:val="18"/>
              </w:rPr>
              <w:t>23</w:t>
            </w:r>
          </w:p>
        </w:tc>
        <w:tc>
          <w:tcPr>
            <w:tcW w:w="3180" w:type="dxa"/>
            <w:tcMar>
              <w:top w:w="0" w:type="dxa"/>
              <w:bottom w:w="0" w:type="dxa"/>
            </w:tcMar>
            <w:vAlign w:val="center"/>
          </w:tcPr>
          <w:p w14:paraId="181C7D29" w14:textId="77777777" w:rsidR="00B8345E" w:rsidRDefault="00000000">
            <w:pPr>
              <w:keepNext/>
              <w:keepLines/>
              <w:spacing w:after="0" w:line="240" w:lineRule="auto"/>
            </w:pPr>
            <w:r>
              <w:rPr>
                <w:sz w:val="18"/>
              </w:rPr>
              <w:t>Ukupno obveze za rashode poslovanja (šifre D231+D232+D234+D235+D236+D237+D 238+D239)</w:t>
            </w:r>
          </w:p>
        </w:tc>
        <w:tc>
          <w:tcPr>
            <w:tcW w:w="700" w:type="dxa"/>
            <w:tcMar>
              <w:top w:w="0" w:type="dxa"/>
              <w:bottom w:w="0" w:type="dxa"/>
            </w:tcMar>
            <w:vAlign w:val="center"/>
          </w:tcPr>
          <w:p w14:paraId="181C7D2A" w14:textId="77777777" w:rsidR="00B8345E" w:rsidRDefault="00000000">
            <w:pPr>
              <w:keepNext/>
              <w:keepLines/>
              <w:spacing w:after="0" w:line="240" w:lineRule="auto"/>
            </w:pPr>
            <w:r>
              <w:rPr>
                <w:sz w:val="18"/>
              </w:rPr>
              <w:t>D23</w:t>
            </w:r>
          </w:p>
        </w:tc>
        <w:tc>
          <w:tcPr>
            <w:tcW w:w="1860" w:type="dxa"/>
            <w:tcMar>
              <w:top w:w="0" w:type="dxa"/>
              <w:bottom w:w="0" w:type="dxa"/>
            </w:tcMar>
            <w:vAlign w:val="center"/>
          </w:tcPr>
          <w:p w14:paraId="181C7D2B" w14:textId="77777777" w:rsidR="00B8345E" w:rsidRDefault="00000000">
            <w:pPr>
              <w:keepNext/>
              <w:keepLines/>
              <w:spacing w:after="0" w:line="240" w:lineRule="auto"/>
              <w:jc w:val="right"/>
            </w:pPr>
            <w:r>
              <w:rPr>
                <w:sz w:val="18"/>
              </w:rPr>
              <w:t>499.537,54</w:t>
            </w:r>
          </w:p>
        </w:tc>
        <w:tc>
          <w:tcPr>
            <w:tcW w:w="700" w:type="dxa"/>
            <w:tcMar>
              <w:top w:w="0" w:type="dxa"/>
              <w:bottom w:w="0" w:type="dxa"/>
            </w:tcMar>
            <w:vAlign w:val="center"/>
          </w:tcPr>
          <w:p w14:paraId="181C7D2C" w14:textId="77777777" w:rsidR="00B8345E" w:rsidRDefault="00000000">
            <w:pPr>
              <w:keepNext/>
              <w:keepLines/>
              <w:spacing w:after="0" w:line="240" w:lineRule="auto"/>
              <w:jc w:val="right"/>
            </w:pPr>
            <w:r>
              <w:rPr>
                <w:sz w:val="18"/>
              </w:rPr>
              <w:t>-</w:t>
            </w:r>
          </w:p>
        </w:tc>
      </w:tr>
    </w:tbl>
    <w:p w14:paraId="181C7D2E" w14:textId="77777777" w:rsidR="00B8345E" w:rsidRDefault="00B8345E">
      <w:pPr>
        <w:spacing w:after="0"/>
      </w:pPr>
    </w:p>
    <w:p w14:paraId="181C7D2F" w14:textId="77777777" w:rsidR="00B8345E" w:rsidRDefault="00000000">
      <w:r>
        <w:t>Obrazloženje dospjelih obveza s prekoračenjem roka plaćanja: Iznos obveza starijih od 360 dana primarno se odnosi na instrumente financijskog osiguranja i tekuće reklamacije:</w:t>
      </w:r>
      <w:r>
        <w:br/>
        <w:t>1. Zadržana sredstva: Dio iznosa predstavlja ugovorena zadržana sredstva po okončanim situacijama za izvedene radove na komunalnoj infrastrukturi, koja se sukladno ugovoru isplaćuju tek po isteku jamstvenog roka za otklanjanje nedostataka ili nakon uspješne primopredaje.</w:t>
      </w:r>
      <w:r>
        <w:br/>
        <w:t>2. Osporeni računi: Preostali dio odnosi se na račune koji su predmet usuglašavanja s dobavljačima zbog prigovora na kvalitetu ili opseg izvršene usluge/radova te će biti podmireni ili stornirani po završetku postupka reklamacije.</w:t>
      </w:r>
    </w:p>
    <w:p w14:paraId="181C7D30" w14:textId="77777777" w:rsidR="00B8345E" w:rsidRDefault="00B8345E"/>
    <w:p w14:paraId="181C7D31" w14:textId="77777777" w:rsidR="00B8345E"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8345E" w14:paraId="181C7D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C7D32" w14:textId="77777777" w:rsidR="00B8345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7D33" w14:textId="77777777" w:rsidR="00B8345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C7D34" w14:textId="77777777" w:rsidR="00B8345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7D35" w14:textId="77777777" w:rsidR="00B8345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81C7D36" w14:textId="77777777" w:rsidR="00B8345E" w:rsidRDefault="00000000">
            <w:pPr>
              <w:keepNext/>
              <w:keepLines/>
              <w:spacing w:after="0" w:line="240" w:lineRule="auto"/>
              <w:jc w:val="center"/>
            </w:pPr>
            <w:r>
              <w:rPr>
                <w:b/>
                <w:sz w:val="18"/>
              </w:rPr>
              <w:t>Indeks (%)</w:t>
            </w:r>
          </w:p>
        </w:tc>
      </w:tr>
      <w:tr w:rsidR="00B8345E" w14:paraId="181C7D3D" w14:textId="77777777">
        <w:tblPrEx>
          <w:tblCellMar>
            <w:top w:w="0" w:type="dxa"/>
            <w:bottom w:w="0" w:type="dxa"/>
          </w:tblCellMar>
        </w:tblPrEx>
        <w:trPr>
          <w:cantSplit/>
          <w:trHeight w:val="560"/>
        </w:trPr>
        <w:tc>
          <w:tcPr>
            <w:tcW w:w="700" w:type="dxa"/>
            <w:tcMar>
              <w:top w:w="0" w:type="dxa"/>
              <w:bottom w:w="0" w:type="dxa"/>
            </w:tcMar>
            <w:vAlign w:val="center"/>
          </w:tcPr>
          <w:p w14:paraId="181C7D38" w14:textId="77777777" w:rsidR="00B8345E" w:rsidRDefault="00000000">
            <w:pPr>
              <w:keepNext/>
              <w:keepLines/>
              <w:spacing w:after="0" w:line="240" w:lineRule="auto"/>
            </w:pPr>
            <w:r>
              <w:rPr>
                <w:sz w:val="18"/>
              </w:rPr>
              <w:t>dio 25,26</w:t>
            </w:r>
          </w:p>
        </w:tc>
        <w:tc>
          <w:tcPr>
            <w:tcW w:w="3180" w:type="dxa"/>
            <w:tcMar>
              <w:top w:w="0" w:type="dxa"/>
              <w:bottom w:w="0" w:type="dxa"/>
            </w:tcMar>
            <w:vAlign w:val="center"/>
          </w:tcPr>
          <w:p w14:paraId="181C7D39" w14:textId="77777777" w:rsidR="00B8345E"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181C7D3A" w14:textId="77777777" w:rsidR="00B8345E" w:rsidRDefault="00000000">
            <w:pPr>
              <w:keepNext/>
              <w:keepLines/>
              <w:spacing w:after="0" w:line="240" w:lineRule="auto"/>
            </w:pPr>
            <w:r>
              <w:rPr>
                <w:sz w:val="18"/>
              </w:rPr>
              <w:t>ND dio 25,26</w:t>
            </w:r>
          </w:p>
        </w:tc>
        <w:tc>
          <w:tcPr>
            <w:tcW w:w="1860" w:type="dxa"/>
            <w:tcMar>
              <w:top w:w="0" w:type="dxa"/>
              <w:bottom w:w="0" w:type="dxa"/>
            </w:tcMar>
            <w:vAlign w:val="center"/>
          </w:tcPr>
          <w:p w14:paraId="181C7D3B" w14:textId="77777777" w:rsidR="00B8345E" w:rsidRDefault="00000000">
            <w:pPr>
              <w:keepNext/>
              <w:keepLines/>
              <w:spacing w:after="0" w:line="240" w:lineRule="auto"/>
              <w:jc w:val="right"/>
            </w:pPr>
            <w:r>
              <w:rPr>
                <w:sz w:val="18"/>
              </w:rPr>
              <w:t>5.158.622,21</w:t>
            </w:r>
          </w:p>
        </w:tc>
        <w:tc>
          <w:tcPr>
            <w:tcW w:w="700" w:type="dxa"/>
            <w:tcMar>
              <w:top w:w="0" w:type="dxa"/>
              <w:bottom w:w="0" w:type="dxa"/>
            </w:tcMar>
            <w:vAlign w:val="center"/>
          </w:tcPr>
          <w:p w14:paraId="181C7D3C" w14:textId="77777777" w:rsidR="00B8345E" w:rsidRDefault="00000000">
            <w:pPr>
              <w:keepNext/>
              <w:keepLines/>
              <w:spacing w:after="0" w:line="240" w:lineRule="auto"/>
              <w:jc w:val="right"/>
            </w:pPr>
            <w:r>
              <w:rPr>
                <w:sz w:val="18"/>
              </w:rPr>
              <w:t>-</w:t>
            </w:r>
          </w:p>
        </w:tc>
      </w:tr>
    </w:tbl>
    <w:p w14:paraId="181C7D3E" w14:textId="77777777" w:rsidR="00B8345E" w:rsidRDefault="00B8345E">
      <w:pPr>
        <w:spacing w:after="0"/>
      </w:pPr>
    </w:p>
    <w:p w14:paraId="181C7D3F" w14:textId="77777777" w:rsidR="00B8345E" w:rsidRDefault="00000000">
      <w:r>
        <w:t>Namjena i struktura kreditnih obveza: Povećanje stanja nedospjelih obveza za kredite i zajmove izravna je posljedica realizacije kapitalnih EU projekata:</w:t>
      </w:r>
      <w:r>
        <w:br/>
        <w:t>1. Dugoročno zaduženje (HBOR): Odnosi se na financiranje izgradnje "Centra za starije i nemoćne osobe" (NPOO projekt), gdje otplata prati dugoročni amortizacijski plan.</w:t>
      </w:r>
      <w:r>
        <w:br/>
        <w:t>2. Kratkoročno zaduženje (Erste banka): Odnosi se na kredit za premošćivanje (</w:t>
      </w:r>
      <w:proofErr w:type="spellStart"/>
      <w:r>
        <w:t>bridge</w:t>
      </w:r>
      <w:proofErr w:type="spellEnd"/>
      <w:r>
        <w:t xml:space="preserve"> </w:t>
      </w:r>
      <w:proofErr w:type="spellStart"/>
      <w:r>
        <w:t>financing</w:t>
      </w:r>
      <w:proofErr w:type="spellEnd"/>
      <w:r>
        <w:t>) likvidnosti tijekom provedbe EU projekata. Ova obveza je privremenog karaktera i bit će zatvorena jednokratno po priljevu bespovratnih sredstava (refundaciji) od strane nadležnih tijela, za što su već podneseni Zahtjevi za nadoknadu sredstava (ZNS).</w:t>
      </w:r>
    </w:p>
    <w:p w14:paraId="181C7D40" w14:textId="77777777" w:rsidR="00B8345E" w:rsidRDefault="00B8345E"/>
    <w:p w14:paraId="181C7D41" w14:textId="77777777" w:rsidR="00B8345E" w:rsidRDefault="00000000">
      <w:pPr>
        <w:keepNext/>
        <w:spacing w:line="240" w:lineRule="auto"/>
        <w:jc w:val="center"/>
      </w:pPr>
      <w:r>
        <w:rPr>
          <w:sz w:val="28"/>
        </w:rPr>
        <w:t>Bilješka 22.</w:t>
      </w:r>
    </w:p>
    <w:p w14:paraId="181C7D42" w14:textId="77777777" w:rsidR="00B8345E" w:rsidRDefault="00000000">
      <w:pPr>
        <w:spacing w:line="240" w:lineRule="auto"/>
        <w:jc w:val="both"/>
      </w:pPr>
      <w:r>
        <w:rPr>
          <w:b/>
        </w:rPr>
        <w:t>EU izvještaj</w:t>
      </w:r>
    </w:p>
    <w:p w14:paraId="181C7D43" w14:textId="77777777" w:rsidR="00B8345E" w:rsidRDefault="00000000">
      <w:r>
        <w:t>BILJEŠKA UZ IZVJEŠTAJ O KORIŠTENJU EU SREDSTAVA (EU IZVJEŠTAJ)</w:t>
      </w:r>
    </w:p>
    <w:p w14:paraId="181C7D44" w14:textId="77777777" w:rsidR="00B8345E" w:rsidRDefault="00000000">
      <w:r>
        <w:t>1. METODOLOGIJA I REZULTAT PO IZVORIMA EU izvještaj sastavljen je sukladno Uputi za računovodstveno evidentiranje sredstava Europske unije (Ministarstvo financija, svibanj 2025.). Iskazani manjkovi prihoda i primitaka po pojedinim EU izvorima financiranja (stupac "Ukupno") rezultat su primjene načela nastanka događaja za rashode (evidentirani su kad su nastali) i novčanog načela za naplatu prihoda (čekanje refundacije). Ovi manjkovi su privremenog karaktera i pokriveni su evidentiranim potraživanjima za EU sredstva.</w:t>
      </w:r>
    </w:p>
    <w:p w14:paraId="181C7D45" w14:textId="77777777" w:rsidR="00B8345E" w:rsidRDefault="00000000">
      <w:r>
        <w:t>2. OBRAZLOŽENJE PO KLJUČNIM IZVORIMA (PROJEKTIMA)</w:t>
      </w:r>
      <w:r>
        <w:br/>
        <w:t>• Izvor 561 - Europski socijalni fond plus (Projekt "Zaželi"): Vidljiv je manjak prihoda nad rashodima jer su rashodi za zaposlene i materijalni rashodi (skupina 3) evidentirani i plaćeni u tekućem razdoblju, dok se prihodi priznaju dinamikom odobravanja Zahtjeva za nadoknadu sredstava (ZNS). Stanje: Evidentirana su potraživanja (konto 16381) u iznosu od 768.000,00 €, koja osiguravaju pokriće nastalih rashoda.</w:t>
      </w:r>
      <w:r>
        <w:br/>
        <w:t xml:space="preserve">• Izvor 581 - Mehanizam za oporavak i otpornost (NPOO): Na ovom izvoru evidentirani su značajni kapitalni rashodi za projekte "Centar za starije i nemoćne osobe" i "Dječji vrtić </w:t>
      </w:r>
      <w:proofErr w:type="spellStart"/>
      <w:r>
        <w:t>Cvitić</w:t>
      </w:r>
      <w:proofErr w:type="spellEnd"/>
      <w:r>
        <w:t xml:space="preserve">". Iskazani manjak izvora rezultat je </w:t>
      </w:r>
      <w:proofErr w:type="spellStart"/>
      <w:r>
        <w:t>predfinanciranja</w:t>
      </w:r>
      <w:proofErr w:type="spellEnd"/>
      <w:r>
        <w:t xml:space="preserve"> projekata iz općih prihoda i zaduživanja do trenutka refundacije. Stanje: Evidentirana su značajna potraživanja za kapitalne pomoći (konto 16382) u iznosu od 4.016.448,63 € te obračunati prihodi (skupina 96) koji neutraliziraju učinak na ukupan rezultat poslovanja u širem smislu.</w:t>
      </w:r>
      <w:r>
        <w:br/>
        <w:t>• Ostali EU programi: Manji iznosi rashoda na ostalim EU izvorima odnose se na tekuće projektne aktivnosti koje su u fazi provedbe i za koje se očekuje povrat sredstava u narednom razdoblju.</w:t>
      </w:r>
      <w:r>
        <w:br/>
        <w:t xml:space="preserve">3. USKLAĐENJE SA ZNS-ovima Stanja potraživanja (1638) i obračunatih prihoda (9638) usklađena su sa statusima podnesenih i odobrenih Zahtjeva za nadoknadu sredstava (ZNS) na </w:t>
      </w:r>
      <w:r>
        <w:lastRenderedPageBreak/>
        <w:t>dan 31.12.2025. Preostali dio manjka koji nije pokriven potraživanjima odnosi se na troškove nastale potkraj godine za koje ZNS još nije podnesen ili je u pripremi.</w:t>
      </w:r>
    </w:p>
    <w:p w14:paraId="181C7D46" w14:textId="77777777" w:rsidR="00B8345E" w:rsidRDefault="00000000">
      <w:r>
        <w:t> </w:t>
      </w:r>
    </w:p>
    <w:p w14:paraId="181C7D47" w14:textId="77777777" w:rsidR="00B8345E" w:rsidRDefault="00B8345E"/>
    <w:sectPr w:rsidR="00B834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8345E"/>
    <w:rsid w:val="00A2737F"/>
    <w:rsid w:val="00A55821"/>
    <w:rsid w:val="00B834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7B76"/>
  <w15:docId w15:val="{5B01C0DB-B4C3-4711-9C18-763BE4BE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5200</Words>
  <Characters>31928</Characters>
  <Application>Microsoft Office Word</Application>
  <DocSecurity>0</DocSecurity>
  <Lines>939</Lines>
  <Paragraphs>417</Paragraphs>
  <ScaleCrop>false</ScaleCrop>
  <Company/>
  <LinksUpToDate>false</LinksUpToDate>
  <CharactersWithSpaces>36711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Zlatko Lukačić</cp:lastModifiedBy>
  <cp:revision>2</cp:revision>
  <dcterms:created xsi:type="dcterms:W3CDTF">2026-02-17T11:09:00Z</dcterms:created>
  <dcterms:modified xsi:type="dcterms:W3CDTF">2026-02-17T11:10:00Z</dcterms:modified>
</cp:coreProperties>
</file>